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D5" w:rsidRPr="00310E14" w:rsidRDefault="000A31D5" w:rsidP="000A31D5">
      <w:pPr>
        <w:ind w:left="5954" w:hanging="6238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B0A36">
        <w:rPr>
          <w:rFonts w:ascii="Tahoma" w:hAnsi="Tahoma" w:cs="Tahoma"/>
          <w:b/>
          <w:sz w:val="20"/>
          <w:szCs w:val="20"/>
        </w:rPr>
        <w:t>13/2</w:t>
      </w:r>
      <w:r w:rsidRPr="00CB0A36">
        <w:rPr>
          <w:rFonts w:ascii="Tahoma" w:hAnsi="Tahoma" w:cs="Tahoma"/>
          <w:b/>
          <w:sz w:val="20"/>
          <w:szCs w:val="20"/>
        </w:rPr>
        <w:t>017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>
        <w:rPr>
          <w:rFonts w:ascii="Tahoma" w:hAnsi="Tahoma" w:cs="Tahoma"/>
          <w:b/>
          <w:sz w:val="20"/>
          <w:szCs w:val="20"/>
        </w:rPr>
        <w:t>c</w:t>
      </w:r>
      <w:r w:rsidRPr="00310E14">
        <w:rPr>
          <w:rFonts w:ascii="Tahoma" w:hAnsi="Tahoma" w:cs="Tahoma"/>
          <w:b/>
          <w:sz w:val="20"/>
          <w:szCs w:val="20"/>
        </w:rPr>
        <w:t xml:space="preserve"> do SIWZ /                 </w:t>
      </w:r>
      <w:r w:rsidRPr="00CB0A36">
        <w:rPr>
          <w:rFonts w:ascii="Tahoma" w:hAnsi="Tahoma" w:cs="Tahoma"/>
          <w:b/>
          <w:sz w:val="20"/>
          <w:szCs w:val="20"/>
        </w:rPr>
        <w:t>Załącznik nr 1c do Umowy</w:t>
      </w:r>
    </w:p>
    <w:p w:rsidR="000A31D5" w:rsidRPr="00310E14" w:rsidRDefault="000A31D5" w:rsidP="000A31D5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>
        <w:rPr>
          <w:rFonts w:ascii="Tahoma" w:hAnsi="Tahoma" w:cs="Tahoma"/>
          <w:b/>
          <w:bCs/>
          <w:sz w:val="20"/>
          <w:szCs w:val="20"/>
        </w:rPr>
        <w:t xml:space="preserve"> DLA CZĘŚCI 3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A31D5" w:rsidRPr="00310E14" w:rsidRDefault="000A31D5" w:rsidP="000A31D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31D5" w:rsidRPr="00ED5C2B" w:rsidRDefault="000A31D5" w:rsidP="000A31D5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oprogramowania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prawnej.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A31D5" w:rsidRPr="00ED5C2B" w:rsidRDefault="000A31D5" w:rsidP="000A31D5">
      <w:pPr>
        <w:widowControl/>
        <w:numPr>
          <w:ilvl w:val="0"/>
          <w:numId w:val="7"/>
        </w:numPr>
        <w:tabs>
          <w:tab w:val="num" w:pos="567"/>
          <w:tab w:val="num" w:pos="709"/>
          <w:tab w:val="num" w:pos="2880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 xml:space="preserve">– cecha </w:t>
      </w:r>
      <w:r>
        <w:rPr>
          <w:rFonts w:ascii="Tahoma" w:hAnsi="Tahoma" w:cs="Tahoma"/>
          <w:sz w:val="20"/>
          <w:szCs w:val="20"/>
        </w:rPr>
        <w:t>oprogramowania</w:t>
      </w:r>
      <w:r w:rsidRPr="00ED5C2B">
        <w:rPr>
          <w:rFonts w:ascii="Tahoma" w:hAnsi="Tahoma" w:cs="Tahoma"/>
          <w:sz w:val="20"/>
          <w:szCs w:val="20"/>
        </w:rPr>
        <w:t xml:space="preserve"> obniżająca właściwości funkcjonalne, objawiająca się poprzez brak pewnych funkcji, niższą wydajność lub niższą niezawodność pracy w porównaniu z</w:t>
      </w:r>
      <w:r>
        <w:rPr>
          <w:rFonts w:ascii="Tahoma" w:hAnsi="Tahoma" w:cs="Tahoma"/>
          <w:sz w:val="20"/>
          <w:szCs w:val="20"/>
        </w:rPr>
        <w:t> oprogramowaniem</w:t>
      </w:r>
      <w:r w:rsidRPr="00ED5C2B">
        <w:rPr>
          <w:rFonts w:ascii="Tahoma" w:hAnsi="Tahoma" w:cs="Tahoma"/>
          <w:sz w:val="20"/>
          <w:szCs w:val="20"/>
        </w:rPr>
        <w:t xml:space="preserve"> pozbawionym wady. Wada może powodować utratę lub uszkodzenie danych. Za wadę uznaje się również niespełnianie przez oprogramowanie wymagań określonych w pkt III. OPZ</w:t>
      </w:r>
      <w:r>
        <w:rPr>
          <w:rFonts w:ascii="Tahoma" w:hAnsi="Tahoma" w:cs="Tahoma"/>
          <w:sz w:val="20"/>
          <w:szCs w:val="20"/>
        </w:rPr>
        <w:t xml:space="preserve"> dla części 3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A31D5" w:rsidRPr="00ED5C2B" w:rsidRDefault="000A31D5" w:rsidP="000A31D5">
      <w:pPr>
        <w:widowControl/>
        <w:numPr>
          <w:ilvl w:val="0"/>
          <w:numId w:val="6"/>
        </w:numPr>
        <w:tabs>
          <w:tab w:val="clear" w:pos="900"/>
        </w:tabs>
        <w:suppressAutoHyphens w:val="0"/>
        <w:autoSpaceDE w:val="0"/>
        <w:autoSpaceDN w:val="0"/>
        <w:adjustRightInd w:val="0"/>
        <w:ind w:left="425" w:hanging="425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oprogramowanie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 części 3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0A31D5" w:rsidRPr="00ED5C2B" w:rsidRDefault="000A31D5" w:rsidP="000A31D5">
      <w:pPr>
        <w:jc w:val="both"/>
        <w:rPr>
          <w:rFonts w:ascii="Tahoma" w:hAnsi="Tahoma" w:cs="Tahoma"/>
          <w:b/>
          <w:sz w:val="20"/>
          <w:szCs w:val="20"/>
        </w:rPr>
      </w:pPr>
    </w:p>
    <w:p w:rsidR="000A31D5" w:rsidRPr="00ED5C2B" w:rsidRDefault="000A31D5" w:rsidP="000A31D5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 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A31D5" w:rsidRPr="00ED5C2B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oprogramowania.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Dostawa/y oprogramowania realizowana/e będzie/będą do siedziby Urzędu Pracy m.st. Warszawy przy ul. Grochowskiej 171B w Warszawie. Oprogramowanie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, gdzie producent przewiduje jedynie jego postać elektroniczną, </w:t>
      </w:r>
      <w:r w:rsidRPr="006F75A4">
        <w:rPr>
          <w:rFonts w:ascii="Tahoma" w:hAnsi="Tahoma" w:cs="Tahoma"/>
          <w:sz w:val="20"/>
          <w:szCs w:val="20"/>
        </w:rPr>
        <w:t xml:space="preserve">Wykonawca dostarczy w postaci elektronicznej lub spowoduje, aby 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>producent oprogramowania przesłał je do Opiekuna</w:t>
      </w:r>
      <w:r>
        <w:rPr>
          <w:rFonts w:ascii="Tahoma" w:hAnsi="Tahoma" w:cs="Tahoma"/>
          <w:bCs/>
          <w:snapToGrid w:val="0"/>
          <w:sz w:val="20"/>
          <w:szCs w:val="20"/>
        </w:rPr>
        <w:t xml:space="preserve"> ze strony Zamawiającego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 na wskazany adres poczty elektronicznej</w:t>
      </w:r>
      <w:r w:rsidR="003F2C5B">
        <w:rPr>
          <w:rFonts w:ascii="Tahoma" w:hAnsi="Tahoma" w:cs="Tahoma"/>
          <w:bCs/>
          <w:snapToGrid w:val="0"/>
          <w:sz w:val="20"/>
          <w:szCs w:val="20"/>
        </w:rPr>
        <w:t>,</w:t>
      </w:r>
      <w:r w:rsidRPr="006F75A4">
        <w:rPr>
          <w:rFonts w:ascii="Tahoma" w:hAnsi="Tahoma" w:cs="Tahoma"/>
          <w:bCs/>
          <w:snapToGrid w:val="0"/>
          <w:sz w:val="20"/>
          <w:szCs w:val="20"/>
        </w:rPr>
        <w:t xml:space="preserve"> niezwłocznie po udzieleniu licencji na oprogramowanie lub po dokonaniu aktywacji przedłużenia wsparcia oprogramowania.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Wykonawca zrealizuje przedmiot zamówienia w ramach wynagrodzenia określonego w umowie</w:t>
      </w:r>
      <w:r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 xml:space="preserve">terminie określonym w umowie. Dostawy </w:t>
      </w:r>
      <w:r>
        <w:rPr>
          <w:rFonts w:ascii="Tahoma" w:hAnsi="Tahoma" w:cs="Tahoma"/>
          <w:sz w:val="20"/>
          <w:szCs w:val="20"/>
        </w:rPr>
        <w:t xml:space="preserve">oprogramowania w postaci fizycznej </w:t>
      </w:r>
      <w:r w:rsidRPr="006F75A4">
        <w:rPr>
          <w:rFonts w:ascii="Tahoma" w:hAnsi="Tahoma" w:cs="Tahoma"/>
          <w:sz w:val="20"/>
          <w:szCs w:val="20"/>
        </w:rPr>
        <w:t>realizowane będą w dni robocze, w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>godzinach 8:00 – 15:45.</w:t>
      </w:r>
      <w:r w:rsidRPr="006F75A4">
        <w:rPr>
          <w:rFonts w:ascii="Tahoma" w:hAnsi="Tahoma" w:cs="Tahoma"/>
          <w:sz w:val="20"/>
          <w:szCs w:val="20"/>
        </w:rPr>
        <w:tab/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6F75A4">
        <w:rPr>
          <w:rFonts w:ascii="Tahoma" w:hAnsi="Tahoma" w:cs="Tahoma"/>
          <w:sz w:val="20"/>
          <w:szCs w:val="20"/>
        </w:rPr>
        <w:t xml:space="preserve">oprogramowanie </w:t>
      </w:r>
      <w:r w:rsidRPr="006F75A4">
        <w:rPr>
          <w:rFonts w:ascii="Tahoma" w:hAnsi="Tahoma" w:cs="Tahoma"/>
          <w:snapToGrid w:val="0"/>
          <w:sz w:val="20"/>
          <w:szCs w:val="20"/>
        </w:rPr>
        <w:t>spełniające wszystkie wymagania dotyczące bezpieczeństwa, określone w obowiązującym w Polsce prawie.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 xml:space="preserve">Zaoferowane oprogramowanie musi być ogólnodostępne na rynku oraz musi być w najnowszej wersji dostępnej na rynku na dzień składania ofert. 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Oprogramowanie musi pochodzić z autoryzowanego kanału sprzedaży producenta i musi być dostarczone w formie licencji na warunkach producenta. Przedłużenie wsparcia na</w:t>
      </w:r>
      <w:r>
        <w:rPr>
          <w:rFonts w:ascii="Tahoma" w:hAnsi="Tahoma" w:cs="Tahoma"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oprogramowanie musi pochodzić z</w:t>
      </w:r>
      <w:r>
        <w:rPr>
          <w:rFonts w:ascii="Tahoma" w:hAnsi="Tahoma" w:cs="Tahoma"/>
          <w:sz w:val="20"/>
          <w:szCs w:val="20"/>
        </w:rPr>
        <w:t> </w:t>
      </w:r>
      <w:r w:rsidRPr="006F75A4">
        <w:rPr>
          <w:rFonts w:ascii="Tahoma" w:hAnsi="Tahoma" w:cs="Tahoma"/>
          <w:sz w:val="20"/>
          <w:szCs w:val="20"/>
        </w:rPr>
        <w:t>autoryzowanego kanału sprzedaży producenta i musi być dostarczone na warunkach producenta oprogramowania.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>Zamawiający wymaga dostarczenia oprogramowania przeznaczonego do użytkowania przez podmioty komercyjne lub instytucje rządowe i samorządowe, ponieważ Zamawiający jest jednostką samorządową. Oprogramowanie należy dostarczyć w formie przewidzianej przez producenta oprogramowania (np. nośniki magnetyczne, licencje papierowe, klucze dostępu</w:t>
      </w:r>
      <w:r>
        <w:rPr>
          <w:rFonts w:ascii="Tahoma" w:hAnsi="Tahoma" w:cs="Tahoma"/>
          <w:sz w:val="20"/>
          <w:szCs w:val="20"/>
        </w:rPr>
        <w:t>, linki umożliwiające pobranie oprogramowania</w:t>
      </w:r>
      <w:r w:rsidRPr="006F75A4">
        <w:rPr>
          <w:rFonts w:ascii="Tahoma" w:hAnsi="Tahoma" w:cs="Tahoma"/>
          <w:sz w:val="20"/>
          <w:szCs w:val="20"/>
        </w:rPr>
        <w:t>).</w:t>
      </w:r>
    </w:p>
    <w:p w:rsidR="000A31D5" w:rsidRPr="006F75A4" w:rsidRDefault="000A31D5" w:rsidP="000A31D5">
      <w:pPr>
        <w:widowControl/>
        <w:numPr>
          <w:ilvl w:val="0"/>
          <w:numId w:val="4"/>
        </w:numPr>
        <w:tabs>
          <w:tab w:val="clear" w:pos="900"/>
        </w:tabs>
        <w:suppressAutoHyphens w:val="0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6F75A4">
        <w:rPr>
          <w:rFonts w:ascii="Tahoma" w:hAnsi="Tahoma" w:cs="Tahoma"/>
          <w:sz w:val="20"/>
          <w:szCs w:val="20"/>
        </w:rPr>
        <w:t xml:space="preserve">Okres użytkowania oprogramowania wyszczególnionego w pkt III. OPZ dla części </w:t>
      </w:r>
      <w:r>
        <w:rPr>
          <w:rFonts w:ascii="Tahoma" w:hAnsi="Tahoma" w:cs="Tahoma"/>
          <w:sz w:val="20"/>
          <w:szCs w:val="20"/>
        </w:rPr>
        <w:t>3</w:t>
      </w:r>
      <w:r w:rsidRPr="006F75A4">
        <w:rPr>
          <w:rFonts w:ascii="Tahoma" w:hAnsi="Tahoma" w:cs="Tahoma"/>
          <w:sz w:val="20"/>
          <w:szCs w:val="20"/>
        </w:rPr>
        <w:t xml:space="preserve"> musi być bezterminowy, z wyłączeniem przypadków opisanych jako terminowe. Zaoferowane oprogramowanie musi być licencjonowane w formie licencji grupowych lub licencji pudełkowych, o ile nie określono innego typu licencjonowania w pkt III. OPZ dla części </w:t>
      </w:r>
      <w:r>
        <w:rPr>
          <w:rFonts w:ascii="Tahoma" w:hAnsi="Tahoma" w:cs="Tahoma"/>
          <w:sz w:val="20"/>
          <w:szCs w:val="20"/>
        </w:rPr>
        <w:t>3</w:t>
      </w:r>
      <w:r w:rsidRPr="006F75A4">
        <w:rPr>
          <w:rFonts w:ascii="Tahoma" w:hAnsi="Tahoma" w:cs="Tahoma"/>
          <w:sz w:val="20"/>
          <w:szCs w:val="20"/>
        </w:rPr>
        <w:t xml:space="preserve">. </w:t>
      </w:r>
    </w:p>
    <w:p w:rsidR="000A31D5" w:rsidRPr="00ED5C2B" w:rsidRDefault="000A31D5" w:rsidP="000A31D5">
      <w:pPr>
        <w:ind w:left="539" w:hanging="539"/>
        <w:jc w:val="both"/>
        <w:rPr>
          <w:rFonts w:ascii="Tahoma" w:hAnsi="Tahoma" w:cs="Tahoma"/>
          <w:sz w:val="20"/>
          <w:szCs w:val="20"/>
        </w:rPr>
      </w:pPr>
    </w:p>
    <w:p w:rsidR="000A31D5" w:rsidRPr="00ED5C2B" w:rsidRDefault="000A31D5" w:rsidP="000A31D5">
      <w:pPr>
        <w:widowControl/>
        <w:numPr>
          <w:ilvl w:val="1"/>
          <w:numId w:val="6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0A31D5" w:rsidRDefault="000A31D5" w:rsidP="000A31D5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0A31D5" w:rsidRPr="00ED5C2B" w:rsidTr="003B283C">
        <w:trPr>
          <w:trHeight w:val="402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tabs>
                <w:tab w:val="left" w:pos="993"/>
              </w:tabs>
              <w:ind w:left="480" w:hanging="360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antywirusowe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Wymagania: </w:t>
            </w:r>
          </w:p>
          <w:p w:rsidR="000A31D5" w:rsidRPr="00ED5C2B" w:rsidRDefault="000A31D5" w:rsidP="003B283C">
            <w:pPr>
              <w:ind w:left="17" w:hanging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aktualizacja oprogramowania antywirusowego ESET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Antivirus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Suite dla 3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sz w:val="20"/>
                <w:szCs w:val="20"/>
              </w:rPr>
              <w:t>0 stacji roboczych i serwerów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tym li</w:t>
            </w:r>
            <w:r>
              <w:rPr>
                <w:rFonts w:ascii="Tahoma" w:hAnsi="Tahoma" w:cs="Tahoma"/>
                <w:sz w:val="20"/>
                <w:szCs w:val="20"/>
              </w:rPr>
              <w:t>czba serwerów nie przekroczy 25.</w:t>
            </w:r>
          </w:p>
          <w:p w:rsidR="000A31D5" w:rsidRPr="005F0A09" w:rsidRDefault="000A31D5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F0A09">
              <w:rPr>
                <w:rStyle w:val="Hipercze"/>
                <w:rFonts w:ascii="Tahoma" w:hAnsi="Tahoma" w:cs="Tahoma"/>
                <w:sz w:val="20"/>
                <w:szCs w:val="20"/>
              </w:rPr>
              <w:t>lub oprogramowanie równoważne spełniające następujące wymagania: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Liczba stacji roboczych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laptopów opartych na systemie Windows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i urządzeń mobilnych opartych na systemie Android objętych licencją: co najmniej 285 szt.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Liczba serwerów plików objętych licencją: co najmniej 25 szt. (ochrona w zakresie plików udostępnianych klientom oraz lokalna ochrona systemu </w:t>
            </w:r>
            <w:r>
              <w:rPr>
                <w:rFonts w:ascii="Tahoma" w:hAnsi="Tahoma" w:cs="Tahoma"/>
                <w:sz w:val="20"/>
                <w:szCs w:val="20"/>
              </w:rPr>
              <w:t>operacyjnego serwera).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 ramach licencji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możliwość instalacji minimum </w:t>
            </w:r>
            <w:r>
              <w:rPr>
                <w:rFonts w:ascii="Tahoma" w:hAnsi="Tahoma" w:cs="Tahoma"/>
                <w:sz w:val="20"/>
                <w:szCs w:val="20"/>
              </w:rPr>
              <w:t>1 serwera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2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do minimalizowania ruchu sieciowego systemu antywirusowego pomiędzy lokalizacjami lub innego rozwiązania do zarządzania systemem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zapewniając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minimalizacj</w:t>
            </w:r>
            <w:r w:rsidR="003F2C5B">
              <w:rPr>
                <w:rFonts w:ascii="Tahoma" w:hAnsi="Tahoma" w:cs="Tahoma"/>
                <w:sz w:val="20"/>
                <w:szCs w:val="20"/>
              </w:rPr>
              <w:t>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ruchu sieciowego pomiędzy trzema lokalizacjami do serwera zarządzania.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Pełna ochrona przed oprogramowaniem typu: wirusy komputerowe,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tr</w:t>
            </w:r>
            <w:r>
              <w:rPr>
                <w:rFonts w:ascii="Tahoma" w:hAnsi="Tahoma" w:cs="Tahoma"/>
                <w:sz w:val="20"/>
                <w:szCs w:val="20"/>
              </w:rPr>
              <w:t>ojany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robaki i inne zagrożenia.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Wykrywanie i usuwanie niebezpiecznego oprogramowania typu: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adware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, spyware, dialer,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phishing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, narzęd</w:t>
            </w:r>
            <w:r>
              <w:rPr>
                <w:rFonts w:ascii="Tahoma" w:hAnsi="Tahoma" w:cs="Tahoma"/>
                <w:sz w:val="20"/>
                <w:szCs w:val="20"/>
              </w:rPr>
              <w:t xml:space="preserve">zia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hakerskie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backdor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rootkit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narzędzia do szyfrowania dysków,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Wykrywanie zagrożeń w czasie rzeczywistym, skanowanie plików na żądanie użytkowni</w:t>
            </w:r>
            <w:r>
              <w:rPr>
                <w:rFonts w:ascii="Tahoma" w:hAnsi="Tahoma" w:cs="Tahoma"/>
                <w:sz w:val="20"/>
                <w:szCs w:val="20"/>
              </w:rPr>
              <w:t>ka, skanowanie zgodnie z harmonogramem lub w trakcie nieaktywności użytkownika.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Ochrona plików, poczty przychodzącej i wychodzącej na poziomie stacji roboczej obsługiwanej przy pomocy programów po</w:t>
            </w:r>
            <w:r>
              <w:rPr>
                <w:rFonts w:ascii="Tahoma" w:hAnsi="Tahoma" w:cs="Tahoma"/>
                <w:sz w:val="20"/>
                <w:szCs w:val="20"/>
              </w:rPr>
              <w:t>cztowych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MS Outlook</w:t>
            </w:r>
            <w:r w:rsidRPr="00ED5C2B">
              <w:rPr>
                <w:rFonts w:ascii="Tahoma" w:hAnsi="Tahoma" w:cs="Tahoma"/>
                <w:sz w:val="20"/>
                <w:szCs w:val="20"/>
              </w:rPr>
              <w:t>. Ochrona realizowana za pomocą automatycznej integracji odpowiednich modułów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programem pocztowym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 konieczności dodatkowej konfiguracji, wraz z funkcją automatycznej zmiany rozszerzeń potencjal</w:t>
            </w:r>
            <w:r>
              <w:rPr>
                <w:rFonts w:ascii="Tahoma" w:hAnsi="Tahoma" w:cs="Tahoma"/>
                <w:sz w:val="20"/>
                <w:szCs w:val="20"/>
              </w:rPr>
              <w:t>nie niebezpiecznych załączników.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Ochrona w czasie rzeczywistym ruchu HTTP, HTTPS na poziomie stacji roboczej. Zainfekowany ruch jest automatycznie blokowany, a użytkownikowi wyświetlane jest stosowne powiadomienie. Ochrona realizowana za pomocą automatycznej integracji odpowiednich modułów z przeglądarką internetową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bez konieczności dodatkowej konfi</w:t>
            </w:r>
            <w:r>
              <w:rPr>
                <w:rFonts w:ascii="Tahoma" w:hAnsi="Tahoma" w:cs="Tahoma"/>
                <w:sz w:val="20"/>
                <w:szCs w:val="20"/>
              </w:rPr>
              <w:t xml:space="preserve">guracji </w:t>
            </w:r>
            <w:r w:rsidR="003F2C5B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raz z możliwością definiowania odpowiednich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Małe obciążenie systemu stacji roboczej prac</w:t>
            </w:r>
            <w:r>
              <w:rPr>
                <w:rFonts w:ascii="Tahoma" w:hAnsi="Tahoma" w:cs="Tahoma"/>
                <w:sz w:val="20"/>
                <w:szCs w:val="20"/>
              </w:rPr>
              <w:t>ą oprogramowania antywirusowego.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blokowania co najmniej zewnętrz</w:t>
            </w:r>
            <w:r>
              <w:rPr>
                <w:rFonts w:ascii="Tahoma" w:hAnsi="Tahoma" w:cs="Tahoma"/>
                <w:sz w:val="20"/>
                <w:szCs w:val="20"/>
              </w:rPr>
              <w:t>nych nośników danych (pendrive).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czasu rzeczywistego i skanowania plików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lista skanowanych napędów (wszystkie napędy lokalne, wszystkie napędy wymienne, wszystkie napędy sieciowe, itp.), sposób identyfikacji plików (wszystkie pliki, bazujący na rozszerzeniach, itp.), załączenie/wyłączenie skanowania archiwów, definicja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ze skanowania, załączenie lub wyłączenie skanowania heurystycznego wraz ze zdefiniowaniem głębokości skanowania heurystycznego, tryb pracy oprogramowania antywirusowego (skanowanie przy dostępie do pliku, skanowanie przy wykonaniu pliku, itp.).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poczty  przychodzącej i wychodzącej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skanowanie załączników w zakresie załącz/wyłącz oraz określenie maksymalnego rozmiaru skanowanych archiwów, definicja poziomu skanowania heurystycznego w zakresie załącz/wyłącz oraz poziom skanowania heurystycznego, ochrona przed potencjalnie niebezpiecznymi załącznikami w zakresie usuwania ich z emaila lub/i zmiany rozszerzenia wraz z możliwością zdefiniowania rozszerzeń potencjal</w:t>
            </w:r>
            <w:r>
              <w:rPr>
                <w:rFonts w:ascii="Tahoma" w:hAnsi="Tahoma" w:cs="Tahoma"/>
                <w:sz w:val="20"/>
                <w:szCs w:val="20"/>
              </w:rPr>
              <w:t>nie niebezpiecznych załączników.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ochrony HTTP i HTTPS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zawierając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ustawienia: definicja poziomu skanowania heurystycznego w zakresie załącz/wyłącz oraz poziom skanowania heurystycznego, załączenie/wyłączenie funkcji sprawdzających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czy adres nie jest zawarty w bazie danych potencjalnie niebezpiecznych stron, definicja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wykluczeń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- listy adresów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IP i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URL, któr</w:t>
            </w:r>
            <w:r>
              <w:rPr>
                <w:rFonts w:ascii="Tahoma" w:hAnsi="Tahoma" w:cs="Tahoma"/>
                <w:sz w:val="20"/>
                <w:szCs w:val="20"/>
              </w:rPr>
              <w:t>e mają nie podlegać sprawdzaniu.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definiowania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polis dla poszczególnych grup komputerów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2C5B" w:rsidRPr="00ED5C2B">
              <w:rPr>
                <w:rFonts w:ascii="Tahoma" w:hAnsi="Tahoma" w:cs="Tahoma"/>
                <w:sz w:val="20"/>
                <w:szCs w:val="20"/>
              </w:rPr>
              <w:t>definiując</w:t>
            </w:r>
            <w:r w:rsidR="003F2C5B">
              <w:rPr>
                <w:rFonts w:ascii="Tahoma" w:hAnsi="Tahoma" w:cs="Tahoma"/>
                <w:sz w:val="20"/>
                <w:szCs w:val="20"/>
              </w:rPr>
              <w:t>a</w:t>
            </w:r>
            <w:r w:rsidR="003F2C5B"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załączenie/wyłączenie poszczególnych modułów oprogramowania (skanowanie antywirusowe, skanowanie pocz</w:t>
            </w:r>
            <w:r>
              <w:rPr>
                <w:rFonts w:ascii="Tahoma" w:hAnsi="Tahoma" w:cs="Tahoma"/>
                <w:sz w:val="20"/>
                <w:szCs w:val="20"/>
              </w:rPr>
              <w:t>ty email, skanowanie stron WWW).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 zablokowania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możliwości modyfikacji ustawień oprogramowania antywirusowego przez użytkownika </w:t>
            </w:r>
            <w:r>
              <w:rPr>
                <w:rFonts w:ascii="Tahoma" w:hAnsi="Tahoma" w:cs="Tahoma"/>
                <w:sz w:val="20"/>
                <w:szCs w:val="20"/>
              </w:rPr>
              <w:t>zalogowanego na stacji roboczej.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Możliwość zdefiniowania hasła umożliwiającego odinstalowanie zainstalowanego na stacji roboczej oprogramowania antywirusowego i zabezpieczającego oprogramowanie przed samowolnym jego odinstalow</w:t>
            </w:r>
            <w:r>
              <w:rPr>
                <w:rFonts w:ascii="Tahoma" w:hAnsi="Tahoma" w:cs="Tahoma"/>
                <w:sz w:val="20"/>
                <w:szCs w:val="20"/>
              </w:rPr>
              <w:t>aniem przez użytkownika.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Cykliczna aktualizacja oprogramowania antywirusowego z możliwością pobierania aktualizacji z serwerów producen</w:t>
            </w:r>
            <w:r>
              <w:rPr>
                <w:rFonts w:ascii="Tahoma" w:hAnsi="Tahoma" w:cs="Tahoma"/>
                <w:sz w:val="20"/>
                <w:szCs w:val="20"/>
              </w:rPr>
              <w:t>ta oprogramowania oraz z serwerów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do centralnego zarządzania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 wewnętrznych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, aktualizacja inicjowana według harmonogramu oraz na żądanie. Producent oprogramowania musi publikować aktualizacje baz sygnatur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sześć razy dziennie.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uzyskania szczegółowej informacji o stanie zabezpieczenia poszczególnych stacji roboczych w zakresie terminu ostatniej aktualizacji baz sygnatur, ostatniego pełnego skanowania, ostatniej aktualizacji danych wraz z automatycznym wyróżnianiem na konsoli stacji roboczych, które od pewnego czasu nie komunikowały się z serwerem centralnego zarządzania lub mają ni</w:t>
            </w:r>
            <w:r>
              <w:rPr>
                <w:rFonts w:ascii="Tahoma" w:hAnsi="Tahoma" w:cs="Tahoma"/>
                <w:sz w:val="20"/>
                <w:szCs w:val="20"/>
              </w:rPr>
              <w:t>eaktualne bazy sygnatur.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 centralnego zarządzania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ręcznego inicjowania zadań aktualizacji, skanowania plików dla </w:t>
            </w:r>
            <w:r>
              <w:rPr>
                <w:rFonts w:ascii="Tahoma" w:hAnsi="Tahoma" w:cs="Tahoma"/>
                <w:sz w:val="20"/>
                <w:szCs w:val="20"/>
              </w:rPr>
              <w:t>poszczególnych stacji roboczych.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Możliwość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 poziomu konsoli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centralnego zarządzania ręcznego inicjowania zadań aktualizacji kluczy licencyjnych, instalacji pakietu oprogramowania antywirusowego, usunięcia zainstalowaneg</w:t>
            </w:r>
            <w:r>
              <w:rPr>
                <w:rFonts w:ascii="Tahoma" w:hAnsi="Tahoma" w:cs="Tahoma"/>
                <w:sz w:val="20"/>
                <w:szCs w:val="20"/>
              </w:rPr>
              <w:t>o oprogramowania antywirusowego.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Cykliczne generowanie raportów i dostarczanie ich na zdefiniowane adresy email administratorów oraz generowanie raportów na żądanie administratora przez serwer do centralnego zarządzania o: wykrytym oprogramowaniu szkodliwym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wraz ze wskazaniem nazw stacji roboczych, gdzie oprogramowanie zostało wykryte, wersjach baz sygnatur i wersjach oprogramowania antywirusowego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ze wskazaniem nazw stacji roboczych, na których występują określone wersje oprogramowania, zain</w:t>
            </w:r>
            <w:r>
              <w:rPr>
                <w:rFonts w:ascii="Tahoma" w:hAnsi="Tahoma" w:cs="Tahoma"/>
                <w:sz w:val="20"/>
                <w:szCs w:val="20"/>
              </w:rPr>
              <w:t>stalowanym innym oprogramowaniu.</w:t>
            </w:r>
          </w:p>
          <w:p w:rsidR="000A31D5" w:rsidRPr="00DF6F8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Oprogramowanie wyposażone w standardowy moduł wykrywania zagrożeń za pomocą sygnatur dostarczanych przez producenta oprogramowania oraz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co najmniej jeden moduł heurystyczny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umożliwiający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wykrywanie nieznanych zagrożeń oraz w technikę uczenia maszynowego i obserwacji uruchomionych w systemie procesów.</w:t>
            </w:r>
          </w:p>
          <w:p w:rsidR="000A31D5" w:rsidRDefault="000A31D5" w:rsidP="000A31D5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Moduł skanujący musi pochodzić od innego producenta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porównaniu do modułów skanujących zaoferowanego oprogramowania antywirusowego dla serwera poczty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 którym mowa w poz.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F2C5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3F2C5B">
            <w:pPr>
              <w:widowControl/>
              <w:numPr>
                <w:ilvl w:val="6"/>
                <w:numId w:val="2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W przypadku oprogramowania równoważnego, należy zapewnić </w:t>
            </w:r>
            <w:r>
              <w:rPr>
                <w:rFonts w:ascii="Tahoma" w:hAnsi="Tahoma" w:cs="Tahoma"/>
                <w:sz w:val="20"/>
                <w:szCs w:val="20"/>
              </w:rPr>
              <w:t>szkolenie z zakresu instalacji, wdrożenia i obsługi konsoli do centralnego zarządzania oprogramowaniem dla minimum 2 informatyków oraz należy zapewnić pomoc w sprawnym wdrożeniu oprogramowania w dniu 01.01.2018. W przypadku braku możliwości zapewnienia wsparcia we wdrożeniu oprogramowania równoważnego w dniu 01.01.2018, należy zapewnić odpowiednio dłuższy okres aktualizacji oprogramowania równoważnego tak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aby było możliwe płynne zastąpienie aktualnie eksploatowanego oprogramowania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oprogramowaniem równoważnym w terminie do 01.01.2018r</w:t>
            </w:r>
            <w:r w:rsidR="003F2C5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przesunięcia daty końca ważności o której mowa w wierszu 4.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Obsługiwane systemy operacyjne: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3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Dla stacji roboczych co najmniej Windows 7 w wersji 32 i 64 bitowej, Windows 10 w wersji 32 i 64 bitowej.</w:t>
            </w:r>
          </w:p>
          <w:p w:rsidR="000A31D5" w:rsidRPr="00ED5C2B" w:rsidRDefault="000A31D5" w:rsidP="000A31D5">
            <w:pPr>
              <w:widowControl/>
              <w:numPr>
                <w:ilvl w:val="6"/>
                <w:numId w:val="3"/>
              </w:numPr>
              <w:tabs>
                <w:tab w:val="clear" w:pos="5040"/>
              </w:tabs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Dla serwerów plików co najmniej Windows 2012 R2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, Linux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RedHat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CentOs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, Linux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Suse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Certyfikaty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 pozostałe wymagania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31D5" w:rsidRDefault="000A31D5" w:rsidP="000A31D5">
            <w:pPr>
              <w:widowControl/>
              <w:numPr>
                <w:ilvl w:val="3"/>
                <w:numId w:val="1"/>
              </w:numPr>
              <w:tabs>
                <w:tab w:val="clear" w:pos="288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Rodzina zaoferowanego oprogramowania musi wykazać się, iż </w:t>
            </w:r>
            <w:r>
              <w:rPr>
                <w:rFonts w:ascii="Tahoma" w:hAnsi="Tahoma" w:cs="Tahoma"/>
                <w:sz w:val="20"/>
                <w:szCs w:val="20"/>
              </w:rPr>
              <w:t>wszystkie testy organizacji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VB100 został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zakończon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przyznaniem znaku VB100 w ciągu ostatnich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lat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>
              <w:rPr>
                <w:rFonts w:ascii="Tahoma" w:hAnsi="Tahoma" w:cs="Tahoma"/>
                <w:sz w:val="20"/>
                <w:szCs w:val="20"/>
              </w:rPr>
              <w:t>icząc od daty złożenia oferty. Testy muszą być przeprowadzone na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rodzinie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zaoferowanego </w:t>
            </w:r>
            <w:r w:rsidRPr="00ED5C2B">
              <w:rPr>
                <w:rFonts w:ascii="Tahoma" w:hAnsi="Tahoma" w:cs="Tahoma"/>
                <w:sz w:val="20"/>
                <w:szCs w:val="20"/>
              </w:rPr>
              <w:t>oprogramowania.</w:t>
            </w:r>
          </w:p>
          <w:p w:rsidR="000A31D5" w:rsidRPr="00ED5C2B" w:rsidRDefault="000A31D5" w:rsidP="000A31D5">
            <w:pPr>
              <w:widowControl/>
              <w:numPr>
                <w:ilvl w:val="3"/>
                <w:numId w:val="1"/>
              </w:numPr>
              <w:tabs>
                <w:tab w:val="clear" w:pos="2880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Producent oprogramowania antywirusowego musi być wymieniony na aktualnym raporcie „</w:t>
            </w:r>
            <w:r w:rsidRPr="00477191">
              <w:rPr>
                <w:rFonts w:ascii="Tahoma" w:hAnsi="Tahoma" w:cs="Tahoma"/>
                <w:sz w:val="20"/>
                <w:szCs w:val="20"/>
              </w:rPr>
              <w:t xml:space="preserve">Magic </w:t>
            </w:r>
            <w:proofErr w:type="spellStart"/>
            <w:r w:rsidRPr="00477191">
              <w:rPr>
                <w:rFonts w:ascii="Tahoma" w:hAnsi="Tahoma" w:cs="Tahoma"/>
                <w:sz w:val="20"/>
                <w:szCs w:val="20"/>
              </w:rPr>
              <w:t>Quadrant</w:t>
            </w:r>
            <w:proofErr w:type="spellEnd"/>
            <w:r w:rsidRPr="00477191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Pr="00477191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4771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77191">
              <w:rPr>
                <w:rFonts w:ascii="Tahoma" w:hAnsi="Tahoma" w:cs="Tahoma"/>
                <w:sz w:val="20"/>
                <w:szCs w:val="20"/>
              </w:rPr>
              <w:t>Protection</w:t>
            </w:r>
            <w:proofErr w:type="spellEnd"/>
            <w:r w:rsidRPr="004771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77191">
              <w:rPr>
                <w:rFonts w:ascii="Tahoma" w:hAnsi="Tahoma" w:cs="Tahoma"/>
                <w:sz w:val="20"/>
                <w:szCs w:val="20"/>
              </w:rPr>
              <w:t>Platforms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” firmy Gartner.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Okres aktualizacji oprogramowania: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jeden rok, koniec okresu aktualizacji oprogramowania nie może być wcześniejszy</w:t>
            </w:r>
            <w:r w:rsidR="003F2C5B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jak od dnia 31.12.201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w przypadku instalacji oprogramowani</w:t>
            </w:r>
            <w:r>
              <w:rPr>
                <w:rFonts w:ascii="Tahoma" w:hAnsi="Tahoma" w:cs="Tahoma"/>
                <w:sz w:val="20"/>
                <w:szCs w:val="20"/>
              </w:rPr>
              <w:t>a później niż do dnia 01.01.2018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 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382"/>
        <w:gridCol w:w="2949"/>
      </w:tblGrid>
      <w:tr w:rsidR="000A31D5" w:rsidRPr="00ED5C2B" w:rsidTr="003B283C">
        <w:trPr>
          <w:trHeight w:val="402"/>
        </w:trPr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System ochrony dla serwerów poczty elektronicznej</w:t>
            </w:r>
            <w:r w:rsidRPr="00ED5C2B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9331" w:type="dxa"/>
            <w:gridSpan w:val="2"/>
            <w:vAlign w:val="center"/>
          </w:tcPr>
          <w:p w:rsidR="000A31D5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Wymagania ogólne: 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3761">
              <w:rPr>
                <w:rFonts w:ascii="Tahoma" w:hAnsi="Tahoma" w:cs="Tahoma"/>
                <w:sz w:val="20"/>
                <w:szCs w:val="20"/>
              </w:rPr>
              <w:t xml:space="preserve">System ochrony musi zapewniać kompleksową ochronę antyspamową, antywirusową oraz </w:t>
            </w:r>
            <w:proofErr w:type="spellStart"/>
            <w:r w:rsidRPr="00DC3761">
              <w:rPr>
                <w:rFonts w:ascii="Tahoma" w:hAnsi="Tahoma" w:cs="Tahoma"/>
                <w:sz w:val="20"/>
                <w:szCs w:val="20"/>
              </w:rPr>
              <w:t>antyspyware’ową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5A88">
              <w:rPr>
                <w:rFonts w:ascii="Tahoma" w:hAnsi="Tahoma" w:cs="Tahoma"/>
                <w:sz w:val="20"/>
                <w:szCs w:val="20"/>
              </w:rPr>
              <w:t>System musi mieć możliwość pracy w trybie bramy i transparentnym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B15A88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5A88">
              <w:rPr>
                <w:rFonts w:ascii="Tahoma" w:hAnsi="Tahoma" w:cs="Tahoma"/>
                <w:sz w:val="20"/>
                <w:szCs w:val="20"/>
              </w:rPr>
              <w:t>System ochrony musi wykorzystywać dedykowany system operacyjny, nie dopuszcza się stosowania systemów operacyjnych ogólnego przeznaczenia.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musi zapewniać: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minimum 3 domen internetowych,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minimum 2 bram internetowych przez które będzie wpływała poczta elektroniczna, umieszczonych w dwóch odrębnych lokalizacjach, gdzie dla każdej lokalizacji będzie uruchomiona osobna instancja systemu wraz z obsługą synchronizacji konfiguracji,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nie mniej niż 2 interfejsów Ethernet dla każdej lokalizacji,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nielimitowanej liczby użytkowników w trybie bramy,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co najmniej 3 serwerów wewnętrznych poczty elektronicznej,</w:t>
            </w:r>
          </w:p>
          <w:p w:rsidR="000A31D5" w:rsidRPr="000F1B4C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protokołów TCP IP v4 i v6, SMTP, SMTP</w:t>
            </w:r>
            <w:r w:rsidRPr="000F1B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F1B4C">
              <w:rPr>
                <w:rFonts w:ascii="Tahoma" w:hAnsi="Tahoma" w:cs="Tahoma"/>
                <w:sz w:val="20"/>
                <w:szCs w:val="20"/>
              </w:rPr>
              <w:t>over</w:t>
            </w:r>
            <w:proofErr w:type="spellEnd"/>
            <w:r w:rsidRPr="000F1B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F1B4C">
              <w:rPr>
                <w:rFonts w:ascii="Tahoma" w:hAnsi="Tahoma" w:cs="Tahoma"/>
                <w:sz w:val="20"/>
                <w:szCs w:val="20"/>
              </w:rPr>
              <w:t>ssl</w:t>
            </w:r>
            <w:proofErr w:type="spellEnd"/>
            <w:r w:rsidRPr="000F1B4C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0F1B4C">
              <w:rPr>
                <w:rFonts w:ascii="Tahoma" w:hAnsi="Tahoma" w:cs="Tahoma"/>
                <w:sz w:val="20"/>
                <w:szCs w:val="20"/>
              </w:rPr>
              <w:t>tls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LDAP, RADIUS, SNMP,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Polityki filtrowania oparte o adresy email (zarówno nadawców jak i odbiorców), nazwy domenowe, adresy IP,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zdefiniowania minimum 30 polityk na domenę,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Możliwe akcje dla przetwarzanej poczty elektronicznej</w:t>
            </w:r>
            <w:r w:rsidR="00AF4FF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zależności od spełniania lub nie spełniania odpowiednich reguł: </w:t>
            </w:r>
            <w:proofErr w:type="spellStart"/>
            <w:r w:rsidRPr="00AC191F">
              <w:rPr>
                <w:rFonts w:ascii="Tahoma" w:hAnsi="Tahoma" w:cs="Tahoma"/>
                <w:sz w:val="20"/>
                <w:szCs w:val="20"/>
              </w:rPr>
              <w:t>Accept</w:t>
            </w:r>
            <w:proofErr w:type="spellEnd"/>
            <w:r w:rsidRPr="00AC19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191F">
              <w:rPr>
                <w:rFonts w:ascii="Tahoma" w:hAnsi="Tahoma" w:cs="Tahoma"/>
                <w:sz w:val="20"/>
                <w:szCs w:val="20"/>
              </w:rPr>
              <w:t>Relay</w:t>
            </w:r>
            <w:proofErr w:type="spellEnd"/>
            <w:r w:rsidRPr="00AC19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191F">
              <w:rPr>
                <w:rFonts w:ascii="Tahoma" w:hAnsi="Tahoma" w:cs="Tahoma"/>
                <w:sz w:val="20"/>
                <w:szCs w:val="20"/>
              </w:rPr>
              <w:t>Reject</w:t>
            </w:r>
            <w:proofErr w:type="spellEnd"/>
            <w:r w:rsidRPr="00AC19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191F">
              <w:rPr>
                <w:rFonts w:ascii="Tahoma" w:hAnsi="Tahoma" w:cs="Tahoma"/>
                <w:sz w:val="20"/>
                <w:szCs w:val="20"/>
              </w:rPr>
              <w:t>Discard</w:t>
            </w:r>
            <w:proofErr w:type="spellEnd"/>
            <w:r w:rsidRPr="00AC191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C191F">
              <w:rPr>
                <w:rFonts w:ascii="Tahoma" w:hAnsi="Tahoma" w:cs="Tahoma"/>
                <w:sz w:val="20"/>
                <w:szCs w:val="20"/>
              </w:rPr>
              <w:t>Kwarnatanna</w:t>
            </w:r>
            <w:proofErr w:type="spellEnd"/>
            <w:r w:rsidRPr="00AC191F">
              <w:rPr>
                <w:rFonts w:ascii="Tahoma" w:hAnsi="Tahoma" w:cs="Tahoma"/>
                <w:sz w:val="20"/>
                <w:szCs w:val="20"/>
              </w:rPr>
              <w:t>, Oznaczanie (</w:t>
            </w:r>
            <w:proofErr w:type="spellStart"/>
            <w:r w:rsidRPr="00AC191F">
              <w:rPr>
                <w:rFonts w:ascii="Tahoma" w:hAnsi="Tahoma" w:cs="Tahoma"/>
                <w:sz w:val="20"/>
                <w:szCs w:val="20"/>
              </w:rPr>
              <w:t>Tagging</w:t>
            </w:r>
            <w:proofErr w:type="spellEnd"/>
            <w:r w:rsidRPr="00AC191F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Ochronę poczty przychodzącej w zakresie spamu, wirusów i spyware. Szczegółowe wymagania zostały określone w pkt 5 i 6, 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integracji systemu z zewnętrznym systemem typu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Sandbox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 postaci rozwiązania lokalnego i opartego o chmurę, bez konieczności dostarczania systemu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Sandbox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wraz z systemem ochrony dla serwerów poczty elektronicznej. 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32C83">
              <w:rPr>
                <w:rFonts w:ascii="Tahoma" w:hAnsi="Tahoma" w:cs="Tahoma"/>
                <w:sz w:val="20"/>
                <w:szCs w:val="20"/>
              </w:rPr>
              <w:t>Granularne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wielowarstwowe polityki wykrywania spamu i wirusów,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Ochrona przed atakami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Szczegółowe wymagania zostały określone w pkt 7,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Archiwizacja poczty przychodzącej i wychodzącej na lokalnych dyskach systemu, wraz z</w:t>
            </w:r>
            <w:r w:rsidR="00881E5C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 xml:space="preserve">możliwością definiowania okresu przechowywania i retencji oraz w lokalizacji zewnętrznej przy wykorzystaniu minimum protokołu SFTP, 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Usuwanie wewnętrznych nagłówków z poczty wychodzącej, wysyłanej za pośrednictwem rozwiązania,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Obsługę funkcji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greylist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wraz z możliwością wskazania adresów poczty docelowych i źródłowych</w:t>
            </w:r>
            <w:r w:rsidR="00AF4FF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których funkcja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greylist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nie będzie stosowana,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Aktualizacje w czasie rzeczywistym bazy wiadomości spam,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Aktualizacje zgodnie z harmonogramem definicji dla systemu antywirusowego,</w:t>
            </w:r>
          </w:p>
          <w:p w:rsidR="000A31D5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zarządzania rozwiązaniem z poziomu przeglądarki internetowej</w:t>
            </w:r>
            <w:r w:rsidR="00AF4FF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wykorzystaniem protokołu HTTPS oraz z poziomu linii komend,</w:t>
            </w:r>
          </w:p>
          <w:p w:rsidR="000A31D5" w:rsidRPr="005235F1" w:rsidRDefault="000A31D5" w:rsidP="000A31D5">
            <w:pPr>
              <w:numPr>
                <w:ilvl w:val="1"/>
                <w:numId w:val="8"/>
              </w:numPr>
              <w:tabs>
                <w:tab w:val="clear" w:pos="144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Logowanie i raportowanie. Szczegółowe wymagania zostały określone w pkt 8.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1F0">
              <w:rPr>
                <w:rFonts w:ascii="Tahoma" w:hAnsi="Tahoma" w:cs="Tahoma"/>
                <w:sz w:val="20"/>
                <w:szCs w:val="20"/>
              </w:rPr>
              <w:t xml:space="preserve">Ochrona antywirusowa i </w:t>
            </w:r>
            <w:proofErr w:type="spellStart"/>
            <w:r w:rsidRPr="00BB51F0">
              <w:rPr>
                <w:rFonts w:ascii="Tahoma" w:hAnsi="Tahoma" w:cs="Tahoma"/>
                <w:sz w:val="20"/>
                <w:szCs w:val="20"/>
              </w:rPr>
              <w:t>antyspyware’owa</w:t>
            </w:r>
            <w:proofErr w:type="spellEnd"/>
            <w:r w:rsidRPr="00BB51F0">
              <w:rPr>
                <w:rFonts w:ascii="Tahoma" w:hAnsi="Tahoma" w:cs="Tahoma"/>
                <w:sz w:val="20"/>
                <w:szCs w:val="20"/>
              </w:rPr>
              <w:t xml:space="preserve"> musi zapewniać: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Skanowanie antywirusowe wiadomości przychodzących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wykorzystaniem protokołu SMTP,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Skanowanie za pomocą minimum jednego modułu skanującego, m</w:t>
            </w:r>
            <w:r w:rsidRPr="009F24E6">
              <w:rPr>
                <w:rFonts w:ascii="Tahoma" w:hAnsi="Tahoma" w:cs="Tahoma"/>
                <w:sz w:val="20"/>
                <w:szCs w:val="20"/>
              </w:rPr>
              <w:t>oduł skanujący musi pochodzić od innego p</w:t>
            </w:r>
            <w:r>
              <w:rPr>
                <w:rFonts w:ascii="Tahoma" w:hAnsi="Tahoma" w:cs="Tahoma"/>
                <w:sz w:val="20"/>
                <w:szCs w:val="20"/>
              </w:rPr>
              <w:t>roducenta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porównaniu do modułu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skanując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zaoferowanego oprogramowania antywirus</w:t>
            </w:r>
            <w:r>
              <w:rPr>
                <w:rFonts w:ascii="Tahoma" w:hAnsi="Tahoma" w:cs="Tahoma"/>
                <w:sz w:val="20"/>
                <w:szCs w:val="20"/>
              </w:rPr>
              <w:t>owego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o którym mowa w poz. </w:t>
            </w:r>
            <w:r>
              <w:rPr>
                <w:rFonts w:ascii="Tahoma" w:hAnsi="Tahoma" w:cs="Tahoma"/>
                <w:sz w:val="20"/>
                <w:szCs w:val="20"/>
              </w:rPr>
              <w:t>1,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Kwarantannę dla zainfekowanych plików,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Powiadomienia użytkowników wraz z możliwością definiowania treści powiadomienia w języku polskim,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Skanowanie załączników skompresowanych wraz z możliwością konfiguracji poziomu zagnieżdżenia i wielkości załącznika, który zostanie poddany skanowaniu,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Blokowanie załączników ze względu na ich typ,</w:t>
            </w:r>
          </w:p>
          <w:p w:rsidR="000A31D5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Modyfikacje tematu wiadomości w przypadku wykrycia zagrożenia, gdy zgodnie z konfiguracją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email ma być przekazany do serwera poczty,</w:t>
            </w:r>
          </w:p>
          <w:p w:rsidR="000A31D5" w:rsidRPr="00BB51F0" w:rsidRDefault="000A31D5" w:rsidP="000A31D5">
            <w:pPr>
              <w:numPr>
                <w:ilvl w:val="7"/>
                <w:numId w:val="5"/>
              </w:numPr>
              <w:tabs>
                <w:tab w:val="clear" w:pos="5760"/>
              </w:tabs>
              <w:ind w:left="614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Obsługę minimum 40 profili antywirusowych.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Ochrona antyspamowa </w:t>
            </w:r>
            <w:r w:rsidRPr="00BB51F0">
              <w:rPr>
                <w:rFonts w:ascii="Tahoma" w:hAnsi="Tahoma" w:cs="Tahoma"/>
                <w:sz w:val="20"/>
                <w:szCs w:val="20"/>
              </w:rPr>
              <w:t>musi zapewniać: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Heurystyczną analizę spamu,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Filtrowanie treści wiadomości i załączników, 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Szczegółową kontrolę nagłówka wiadomości,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Filtrowanie w oparciu o metodę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Bayes’a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 możliwością dostrajania dla poszczególnych użytkowników,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Filtrowanie w oparciu o sumy kontrolne spamu,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Wykrywanie spamu w oparciu o analizę plików graficznych oraz plików PDF,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Wykrywanie spamu w oparciu o dynamiczną bazę spamu, dostarczan</w:t>
            </w:r>
            <w:r w:rsidR="00BC67CB">
              <w:rPr>
                <w:rFonts w:ascii="Tahoma" w:hAnsi="Tahoma" w:cs="Tahoma"/>
                <w:sz w:val="20"/>
                <w:szCs w:val="20"/>
              </w:rPr>
              <w:t>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przez producenta rozwiązania,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Wykorzystanie zewnętrznych serwisów RBL do filtrowania spamu,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Weryfikacja źródłowego adresu IP,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Wykorzystanie białych i czarnych list definiowanych globalnie,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Kwarantanna wiadomości spam,</w:t>
            </w:r>
          </w:p>
          <w:p w:rsidR="000A31D5" w:rsidRPr="005235F1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Weryfikacje istniejących adresów docelowych z wykorzystaniem protokołu LDAP, </w:t>
            </w:r>
          </w:p>
          <w:p w:rsidR="000A31D5" w:rsidRDefault="000A31D5" w:rsidP="000A31D5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Oznaczanie wiadomości spam.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Ochrona przed atakami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musi zapewniać:</w:t>
            </w:r>
          </w:p>
          <w:p w:rsidR="000A31D5" w:rsidRDefault="000A31D5" w:rsidP="000A31D5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Ochronę przed atakiem typu Mail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Bombing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A31D5" w:rsidRDefault="000A31D5" w:rsidP="000A31D5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Ochrona przed atakami na adres odbiorcy,</w:t>
            </w:r>
          </w:p>
          <w:p w:rsidR="000A31D5" w:rsidRDefault="000A31D5" w:rsidP="000A31D5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Definiowanie maksymalnych ilości wiadomości pocztowych przychodzących,</w:t>
            </w:r>
          </w:p>
          <w:p w:rsidR="000A31D5" w:rsidRDefault="000A31D5" w:rsidP="000A31D5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Kontrola </w:t>
            </w:r>
            <w:proofErr w:type="spellStart"/>
            <w:r w:rsidRPr="00CD04D8">
              <w:rPr>
                <w:rFonts w:ascii="Tahoma" w:hAnsi="Tahoma" w:cs="Tahoma"/>
                <w:sz w:val="20"/>
                <w:szCs w:val="20"/>
              </w:rPr>
              <w:t>Reverse</w:t>
            </w:r>
            <w:proofErr w:type="spellEnd"/>
            <w:r w:rsidRPr="00CD04D8">
              <w:rPr>
                <w:rFonts w:ascii="Tahoma" w:hAnsi="Tahoma" w:cs="Tahoma"/>
                <w:sz w:val="20"/>
                <w:szCs w:val="20"/>
              </w:rPr>
              <w:t xml:space="preserve"> DNS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A31D5" w:rsidRPr="00CD04D8" w:rsidRDefault="000A31D5" w:rsidP="000A31D5">
            <w:pPr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Weryfikacja poprawności adresu nadawcy.</w:t>
            </w:r>
          </w:p>
          <w:p w:rsidR="000A31D5" w:rsidRDefault="000A31D5" w:rsidP="000A31D5">
            <w:pPr>
              <w:numPr>
                <w:ilvl w:val="6"/>
                <w:numId w:val="1"/>
              </w:numPr>
              <w:tabs>
                <w:tab w:val="clear" w:pos="5040"/>
              </w:tabs>
              <w:ind w:left="33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Logowanie i raportowanie musi zapewniać: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Raportowanie w trybie online stanu systemu w postaci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dashboardu</w:t>
            </w:r>
            <w:proofErr w:type="spellEnd"/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którym muszą być widoczne następujące elementy: obciążenie procesora/ów, zużycie pamięci, zajętość przestrzeni dyskowej, statystyki dotyczące liczby obsłużonych wiadomości wraz z podziałem na wiadomości uznane jako spam i wiadomości poprawne,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Raportowanie statystyczne we wskazanym okresie czasu z możliwością filtrowania na wiadomości przychodzące, wychodzące, wszystkie,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Raportowanie aktualnie otwartych sesji,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Raportowanie stanu kolejki, oraz reputacji poszczególnych adresów IP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skąd są wysyłane wiadomości email,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Logowanie każdego zdarzenia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jakie zachodzi w systemie,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Przekazywanie logów do zewnętrznego serwera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Syslog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Logowanie zmian w konfiguracji oraz krytycznych zdarzeń systemowych,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przeglądu logów w czasie rzeczywistym,</w:t>
            </w:r>
          </w:p>
          <w:p w:rsidR="000A31D5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przeszukiwania logów i wyszukiwania informacji o poszczególnych wiadomościach wg kryteriów: okres, adres nadawcy, adres odbiorcy, temat wraz z możliwością szybkiego przejścia z widoku ogólnego wyszukanego logu do widoku zestawu logów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związanych z daną sesją,</w:t>
            </w:r>
          </w:p>
          <w:p w:rsidR="000A31D5" w:rsidRPr="00CF3D42" w:rsidRDefault="000A31D5" w:rsidP="000A31D5">
            <w:pPr>
              <w:numPr>
                <w:ilvl w:val="0"/>
                <w:numId w:val="1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tworzenia raportów i planowania czasu generacji raportów wraz ze wskazaniem sposobu dostarczenia.</w:t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vAlign w:val="center"/>
          </w:tcPr>
          <w:p w:rsidR="000A31D5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3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Wydajność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31D5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Systemu musi zapewniać wydajność nominalną skanowania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antyspam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minimum na poziomie 20 000 wiadomości pocztowych na godzinę, przy wielkości pojedynczej wiadomości 100kB.</w:t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3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Platforma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musi być dostarczony w formie maszyny wirtualnej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możliwej do uruchomienia na </w:t>
            </w:r>
            <w:r w:rsidRPr="00310E14">
              <w:rPr>
                <w:rFonts w:ascii="Tahoma" w:hAnsi="Tahoma" w:cs="Tahoma"/>
                <w:sz w:val="20"/>
                <w:szCs w:val="20"/>
              </w:rPr>
              <w:t>bazie oprogramowania Vmware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Hyper-V.</w:t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vAlign w:val="center"/>
          </w:tcPr>
          <w:p w:rsidR="000A31D5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31" w:type="dxa"/>
            <w:gridSpan w:val="2"/>
            <w:vAlign w:val="center"/>
          </w:tcPr>
          <w:p w:rsidR="000A31D5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Certyfikaty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31D5" w:rsidRPr="009F24E6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24E6">
              <w:rPr>
                <w:rFonts w:ascii="Tahoma" w:hAnsi="Tahoma" w:cs="Tahoma"/>
                <w:sz w:val="20"/>
                <w:szCs w:val="20"/>
              </w:rPr>
              <w:t xml:space="preserve">System musi wykazać się, iż </w:t>
            </w:r>
            <w:r>
              <w:rPr>
                <w:rFonts w:ascii="Tahoma" w:hAnsi="Tahoma" w:cs="Tahoma"/>
                <w:sz w:val="20"/>
                <w:szCs w:val="20"/>
              </w:rPr>
              <w:t>wszystkie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test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organizacji VB100 w zakresie </w:t>
            </w:r>
            <w:proofErr w:type="spellStart"/>
            <w:r w:rsidRPr="009F24E6">
              <w:rPr>
                <w:rFonts w:ascii="Tahoma" w:hAnsi="Tahoma" w:cs="Tahoma"/>
                <w:sz w:val="20"/>
                <w:szCs w:val="20"/>
              </w:rPr>
              <w:t>VBSpam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przeprowadzone na oferowanym systemie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zostały zakończone przyznaniem znaku „SPAM + </w:t>
            </w:r>
            <w:proofErr w:type="spellStart"/>
            <w:r w:rsidRPr="009F24E6">
              <w:rPr>
                <w:rFonts w:ascii="Tahoma" w:hAnsi="Tahoma" w:cs="Tahoma"/>
                <w:sz w:val="20"/>
                <w:szCs w:val="20"/>
              </w:rPr>
              <w:t>Verified</w:t>
            </w:r>
            <w:proofErr w:type="spellEnd"/>
            <w:r w:rsidRPr="009F24E6">
              <w:rPr>
                <w:rFonts w:ascii="Tahoma" w:hAnsi="Tahoma" w:cs="Tahoma"/>
                <w:sz w:val="20"/>
                <w:szCs w:val="20"/>
              </w:rPr>
              <w:t>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ciągu ostatniego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roku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 w:rsidRPr="009F24E6">
              <w:rPr>
                <w:rFonts w:ascii="Tahoma" w:hAnsi="Tahoma" w:cs="Tahoma"/>
                <w:sz w:val="20"/>
                <w:szCs w:val="20"/>
              </w:rPr>
              <w:t xml:space="preserve"> licząc od daty złożenia oferty.</w:t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31" w:type="dxa"/>
            <w:gridSpan w:val="2"/>
            <w:vAlign w:val="center"/>
          </w:tcPr>
          <w:p w:rsidR="000A31D5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Wsparcie techniczne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A31D5" w:rsidRPr="00CF3D42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3D42">
              <w:rPr>
                <w:rFonts w:ascii="Tahoma" w:hAnsi="Tahoma" w:cs="Tahoma"/>
                <w:sz w:val="20"/>
                <w:szCs w:val="20"/>
              </w:rPr>
              <w:t>System musi być dostarczony wraz ze wsparciem technicznym producenta oraz prawem do aktualizacji systemu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 w:rsidRPr="00CF3D42">
              <w:rPr>
                <w:rFonts w:ascii="Tahoma" w:hAnsi="Tahoma" w:cs="Tahoma"/>
                <w:sz w:val="20"/>
                <w:szCs w:val="20"/>
              </w:rPr>
              <w:t xml:space="preserve"> w tym aktualizacji definicji spamu i aktualizacji baz antywirusowych</w:t>
            </w:r>
            <w:r w:rsidR="00BC67CB">
              <w:rPr>
                <w:rFonts w:ascii="Tahoma" w:hAnsi="Tahoma" w:cs="Tahoma"/>
                <w:sz w:val="20"/>
                <w:szCs w:val="20"/>
              </w:rPr>
              <w:t>,</w:t>
            </w:r>
            <w:r w:rsidRPr="00CF3D42">
              <w:rPr>
                <w:rFonts w:ascii="Tahoma" w:hAnsi="Tahoma" w:cs="Tahoma"/>
                <w:sz w:val="20"/>
                <w:szCs w:val="20"/>
              </w:rPr>
              <w:t xml:space="preserve"> zapewnionym na okres minimum </w:t>
            </w:r>
            <w:r>
              <w:rPr>
                <w:rFonts w:ascii="Tahoma" w:hAnsi="Tahoma" w:cs="Tahoma"/>
                <w:sz w:val="20"/>
                <w:szCs w:val="20"/>
              </w:rPr>
              <w:t>trzech lat</w:t>
            </w:r>
            <w:r w:rsidRPr="00CF3D42">
              <w:rPr>
                <w:rFonts w:ascii="Tahoma" w:hAnsi="Tahoma" w:cs="Tahoma"/>
                <w:sz w:val="20"/>
                <w:szCs w:val="20"/>
              </w:rPr>
              <w:t>. Przy czym okres wsparcia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aktualizacji</w:t>
            </w:r>
            <w:r w:rsidRPr="00CF3D42">
              <w:rPr>
                <w:rFonts w:ascii="Tahoma" w:hAnsi="Tahoma" w:cs="Tahoma"/>
                <w:sz w:val="20"/>
                <w:szCs w:val="20"/>
              </w:rPr>
              <w:t xml:space="preserve"> mus</w:t>
            </w:r>
            <w:r>
              <w:rPr>
                <w:rFonts w:ascii="Tahoma" w:hAnsi="Tahoma" w:cs="Tahoma"/>
                <w:sz w:val="20"/>
                <w:szCs w:val="20"/>
              </w:rPr>
              <w:t xml:space="preserve">i się kończyć z </w:t>
            </w:r>
            <w:r w:rsidR="00BC67CB">
              <w:rPr>
                <w:rFonts w:ascii="Tahoma" w:hAnsi="Tahoma" w:cs="Tahoma"/>
                <w:sz w:val="20"/>
                <w:szCs w:val="20"/>
              </w:rPr>
              <w:t xml:space="preserve">upływem ostatniego </w:t>
            </w:r>
            <w:r>
              <w:rPr>
                <w:rFonts w:ascii="Tahoma" w:hAnsi="Tahoma" w:cs="Tahoma"/>
                <w:sz w:val="20"/>
                <w:szCs w:val="20"/>
              </w:rPr>
              <w:t>dni</w:t>
            </w:r>
            <w:r w:rsidR="00BC67CB">
              <w:rPr>
                <w:rFonts w:ascii="Tahoma" w:hAnsi="Tahoma" w:cs="Tahoma"/>
                <w:sz w:val="20"/>
                <w:szCs w:val="20"/>
              </w:rPr>
              <w:t xml:space="preserve">a trzyletniego okresu </w:t>
            </w:r>
            <w:r w:rsidR="003F4168">
              <w:rPr>
                <w:rFonts w:ascii="Tahoma" w:hAnsi="Tahoma" w:cs="Tahoma"/>
                <w:sz w:val="20"/>
                <w:szCs w:val="20"/>
              </w:rPr>
              <w:t xml:space="preserve">wsparcia technicznego i </w:t>
            </w:r>
            <w:r w:rsidR="00BC67CB">
              <w:rPr>
                <w:rFonts w:ascii="Tahoma" w:hAnsi="Tahoma" w:cs="Tahoma"/>
                <w:sz w:val="20"/>
                <w:szCs w:val="20"/>
              </w:rPr>
              <w:t>aktualizacji licząc od dnia wdrożenie rozwiązania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przy czym </w:t>
            </w:r>
            <w:proofErr w:type="spellStart"/>
            <w:r w:rsidR="003F4168">
              <w:rPr>
                <w:rFonts w:ascii="Tahoma" w:hAnsi="Tahoma" w:cs="Tahoma"/>
                <w:sz w:val="20"/>
                <w:szCs w:val="20"/>
              </w:rPr>
              <w:t>rozwiazanie</w:t>
            </w:r>
            <w:proofErr w:type="spellEnd"/>
            <w:r w:rsidR="00BC67CB">
              <w:rPr>
                <w:rFonts w:ascii="Tahoma" w:hAnsi="Tahoma" w:cs="Tahoma"/>
                <w:sz w:val="20"/>
                <w:szCs w:val="20"/>
              </w:rPr>
              <w:t xml:space="preserve"> musi być </w:t>
            </w:r>
            <w:r w:rsidR="003F4168">
              <w:rPr>
                <w:rFonts w:ascii="Tahoma" w:hAnsi="Tahoma" w:cs="Tahoma"/>
                <w:sz w:val="20"/>
                <w:szCs w:val="20"/>
              </w:rPr>
              <w:t>uruchomione</w:t>
            </w:r>
            <w:r w:rsidR="00BC67CB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 w:rsidR="00BC67CB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20.12.2017r</w:t>
            </w:r>
            <w:r w:rsidRPr="00CF3D42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Wsparcie techniczne musi być realizowane w dni robocze przez 8 godzin roboczych. Ponadto wsparcie musi być realizowane w języku polskim.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0A31D5" w:rsidRPr="00ED5C2B" w:rsidTr="003B283C">
        <w:trPr>
          <w:trHeight w:val="402"/>
        </w:trPr>
        <w:tc>
          <w:tcPr>
            <w:tcW w:w="520" w:type="dxa"/>
            <w:vAlign w:val="center"/>
          </w:tcPr>
          <w:p w:rsidR="000A31D5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31" w:type="dxa"/>
            <w:gridSpan w:val="2"/>
            <w:vAlign w:val="center"/>
          </w:tcPr>
          <w:p w:rsidR="000A31D5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Wdrożenie i szkolenie:</w:t>
            </w:r>
          </w:p>
          <w:p w:rsidR="000A31D5" w:rsidRPr="0042499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99B">
              <w:rPr>
                <w:rFonts w:ascii="Tahoma" w:hAnsi="Tahoma" w:cs="Tahoma"/>
                <w:sz w:val="20"/>
                <w:szCs w:val="20"/>
              </w:rPr>
              <w:lastRenderedPageBreak/>
              <w:t>Wraz z systemem należy zapewnić pomoc w podstawowym wdrożeniu systemu oraz zapewnić szkolenie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obsługi systemu</w:t>
            </w:r>
            <w:r w:rsidRPr="0042499B">
              <w:rPr>
                <w:rFonts w:ascii="Tahoma" w:hAnsi="Tahoma" w:cs="Tahoma"/>
                <w:sz w:val="20"/>
                <w:szCs w:val="20"/>
              </w:rPr>
              <w:t xml:space="preserve"> dla minimum 2 administratorów. Szkolenie może być realizowane w siedzib</w:t>
            </w:r>
            <w:r>
              <w:rPr>
                <w:rFonts w:ascii="Tahoma" w:hAnsi="Tahoma" w:cs="Tahoma"/>
                <w:sz w:val="20"/>
                <w:szCs w:val="20"/>
              </w:rPr>
              <w:t>ie Zamawiającego lub n</w:t>
            </w:r>
            <w:r w:rsidRPr="0042499B">
              <w:rPr>
                <w:rFonts w:ascii="Tahoma" w:hAnsi="Tahoma" w:cs="Tahoma"/>
                <w:sz w:val="20"/>
                <w:szCs w:val="20"/>
              </w:rPr>
              <w:t>a terenie Warszawy. W ramach szkolenia należy poruszyć kwestie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4249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42499B">
              <w:rPr>
                <w:rFonts w:ascii="Tahoma" w:hAnsi="Tahoma" w:cs="Tahoma"/>
                <w:sz w:val="20"/>
                <w:szCs w:val="20"/>
              </w:rPr>
              <w:t>onfiguracji urządzenia, mechanizmy zabezpieczające i konfiguracje profili/polityk, administrowanie kwarantanną, analizę raportów i logów, konfigurację klastra geograficznego, aktualizacje oprogramowania, wykonywanie kopii zapasowych oraz odtwarzanie konfiguracji, eksport logów i zarchiwizowanych wiadomości, diagnostykę i rozwiązywanie problemów z systemem.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183"/>
        <w:gridCol w:w="3118"/>
      </w:tblGrid>
      <w:tr w:rsidR="000A31D5" w:rsidRPr="00ED5C2B" w:rsidTr="003B283C">
        <w:trPr>
          <w:trHeight w:val="402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tabs>
                <w:tab w:val="left" w:pos="993"/>
              </w:tabs>
              <w:ind w:left="480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biurowe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0 licencji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oprogramowanie Microsoft Office 2016 Standard PL (licencja musi zawierać prawo do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downgrade’u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do wersji 2010 ww. oprogramowania) </w:t>
            </w:r>
          </w:p>
          <w:p w:rsidR="000A31D5" w:rsidRPr="005F0A09" w:rsidRDefault="000A31D5" w:rsidP="003B283C">
            <w:pPr>
              <w:jc w:val="both"/>
              <w:rPr>
                <w:rStyle w:val="Hipercze"/>
                <w:rFonts w:ascii="Tahoma" w:hAnsi="Tahoma" w:cs="Tahoma"/>
              </w:rPr>
            </w:pPr>
            <w:r w:rsidRPr="005F0A09">
              <w:rPr>
                <w:rStyle w:val="Hipercze"/>
                <w:rFonts w:ascii="Tahoma" w:hAnsi="Tahoma" w:cs="Tahoma"/>
                <w:sz w:val="20"/>
                <w:szCs w:val="20"/>
              </w:rPr>
              <w:t>lub oprogramowanie równoważne o podobnej funkcjonalności</w:t>
            </w:r>
            <w:r>
              <w:rPr>
                <w:rStyle w:val="Hipercze"/>
                <w:rFonts w:ascii="Tahoma" w:hAnsi="Tahoma" w:cs="Tahoma"/>
                <w:sz w:val="20"/>
                <w:szCs w:val="20"/>
              </w:rPr>
              <w:t>,</w:t>
            </w:r>
            <w:r w:rsidRPr="005F0A09">
              <w:rPr>
                <w:rStyle w:val="Hipercze"/>
                <w:rFonts w:ascii="Tahoma" w:hAnsi="Tahoma" w:cs="Tahoma"/>
                <w:sz w:val="20"/>
                <w:szCs w:val="20"/>
              </w:rPr>
              <w:t xml:space="preserve"> wyposażone w interfejs API zgodny z</w:t>
            </w:r>
            <w:r>
              <w:rPr>
                <w:rStyle w:val="Hipercze"/>
                <w:rFonts w:ascii="Tahoma" w:hAnsi="Tahoma" w:cs="Tahoma"/>
                <w:sz w:val="20"/>
                <w:szCs w:val="20"/>
              </w:rPr>
              <w:t> </w:t>
            </w:r>
            <w:r w:rsidRPr="005F0A09">
              <w:rPr>
                <w:rStyle w:val="Hipercze"/>
                <w:rFonts w:ascii="Tahoma" w:hAnsi="Tahoma" w:cs="Tahoma"/>
                <w:sz w:val="20"/>
                <w:szCs w:val="20"/>
              </w:rPr>
              <w:t>oprogramowaniem Office</w:t>
            </w:r>
            <w:r>
              <w:rPr>
                <w:rStyle w:val="Hipercze"/>
                <w:rFonts w:ascii="Tahoma" w:hAnsi="Tahoma" w:cs="Tahoma"/>
                <w:sz w:val="20"/>
                <w:szCs w:val="20"/>
              </w:rPr>
              <w:t xml:space="preserve"> oraz zapewniaj</w:t>
            </w:r>
            <w:r w:rsidR="003F4168">
              <w:rPr>
                <w:rStyle w:val="Hipercze"/>
                <w:rFonts w:ascii="Tahoma" w:hAnsi="Tahoma" w:cs="Tahoma"/>
                <w:sz w:val="20"/>
                <w:szCs w:val="20"/>
              </w:rPr>
              <w:t>ą</w:t>
            </w:r>
            <w:r>
              <w:rPr>
                <w:rStyle w:val="Hipercze"/>
                <w:rFonts w:ascii="Tahoma" w:hAnsi="Tahoma" w:cs="Tahoma"/>
                <w:sz w:val="20"/>
                <w:szCs w:val="20"/>
              </w:rPr>
              <w:t>ce bezobsługowe (nie wymagające wykonania dodatkowych czynności takich jak konwersja czy przepisanie oprogramowania na nowy język) działanie makr i programów napisanych w języku VBA, zawartych w dokumentach użytkowanych przez Zamawiającego</w:t>
            </w:r>
            <w:r w:rsidRPr="005F0A09">
              <w:rPr>
                <w:rStyle w:val="Hipercze"/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3B283C">
            <w:pPr>
              <w:jc w:val="both"/>
            </w:pPr>
            <w:r w:rsidRPr="00ED5C2B">
              <w:rPr>
                <w:rFonts w:ascii="Tahoma" w:hAnsi="Tahoma" w:cs="Tahoma"/>
                <w:sz w:val="20"/>
                <w:szCs w:val="20"/>
              </w:rPr>
              <w:t>W przypadku dostarczenia oprogramowania równoważnego, należy zapewnić odpowiednie szkolenia dla użytkowników z zakresu obsługi i eksploatacji tego oprogramowania.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Platforma systemowa: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co najmniej Windows 7, Windows 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32 i 64 bitowej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Typ licencjonowania: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Grupowe, bezterminowe.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3B283C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993" w:hanging="87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wsparcia technicznego i prawa do aktualizacji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Statlook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na okres 1 roku (asysta serwisowa) dla </w:t>
            </w:r>
            <w:r>
              <w:rPr>
                <w:rFonts w:ascii="Tahoma" w:hAnsi="Tahoma" w:cs="Tahoma"/>
                <w:sz w:val="20"/>
                <w:szCs w:val="20"/>
              </w:rPr>
              <w:t>270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agentów i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 konsol zarządzania wraz ze zwiększeniem liczby </w:t>
            </w:r>
            <w:r>
              <w:rPr>
                <w:rFonts w:ascii="Tahoma" w:hAnsi="Tahoma" w:cs="Tahoma"/>
                <w:sz w:val="20"/>
                <w:szCs w:val="20"/>
              </w:rPr>
              <w:t>równocześnie użytkowanych konsol  do 4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200B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lub oprogramowanie równoważne</w:t>
            </w:r>
            <w:r w:rsidRPr="0007200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o funkcjonalności umożliwiającej w szczególności</w:t>
            </w:r>
            <w:r w:rsidRPr="0007200B">
              <w:rPr>
                <w:rFonts w:ascii="Tahoma" w:hAnsi="Tahoma" w:cs="Tahoma"/>
                <w:color w:val="002060"/>
                <w:sz w:val="20"/>
                <w:szCs w:val="20"/>
              </w:rPr>
              <w:t xml:space="preserve">: </w:t>
            </w:r>
            <w:r w:rsidRPr="00ED5C2B">
              <w:rPr>
                <w:rFonts w:ascii="Tahoma" w:hAnsi="Tahoma" w:cs="Tahoma"/>
                <w:sz w:val="20"/>
                <w:szCs w:val="20"/>
              </w:rPr>
              <w:t>przeprowadzanie audytu oprogramowania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zainstalowanego i przechowywanego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na komputerach </w:t>
            </w:r>
            <w:r>
              <w:rPr>
                <w:rFonts w:ascii="Tahoma" w:hAnsi="Tahoma" w:cs="Tahoma"/>
                <w:sz w:val="20"/>
                <w:szCs w:val="20"/>
              </w:rPr>
              <w:t>pracowników</w:t>
            </w:r>
            <w:r w:rsidRPr="00ED5C2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przeprowadzenie audytu plików multimedialnych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przechowywanych na komputerach pracowników,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przeprowadzanie audytu sprzętu, monitoring zmian w konfiguracji komputerów w zakresie zmian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sprzęcie, jak i w oprogramowaniu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monitoring pracy pracowników w zakresie </w:t>
            </w:r>
            <w:r w:rsidRPr="00ED5C2B">
              <w:rPr>
                <w:rFonts w:ascii="Tahoma" w:hAnsi="Tahoma" w:cs="Tahoma"/>
                <w:sz w:val="20"/>
                <w:szCs w:val="20"/>
              </w:rPr>
              <w:t>czasu wykorzystania poszczególnych aplikacji, ze szczególnym uwzględnieniem czasu przeglądania Internetu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wskazaniem odwiedzanych stron 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pracowników (statystyka musi być pobierana minimum z przeglądarek: IE,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Chrome)</w:t>
            </w:r>
            <w:r w:rsidRPr="00ED5C2B">
              <w:rPr>
                <w:rFonts w:ascii="Tahoma" w:hAnsi="Tahoma" w:cs="Tahoma"/>
                <w:sz w:val="20"/>
                <w:szCs w:val="20"/>
              </w:rPr>
              <w:t>, monitoring i raportowanie wydruków wraz z informacją o tytułach wydruków i liczbie wydrukowanych stron, monitoring i raportowanie użycia nośników wymiennych wraz z informacją, jakie pliki zostały otworzone/zapisane,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możliwość blokowania nośników wymiennych, możliwość blokowania nośników wymiennych w tryb tylko do odczytu,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moduł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help-desk’u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umożliwiający zgłaszani</w:t>
            </w:r>
            <w:r>
              <w:rPr>
                <w:rFonts w:ascii="Tahoma" w:hAnsi="Tahoma" w:cs="Tahoma"/>
                <w:sz w:val="20"/>
                <w:szCs w:val="20"/>
              </w:rPr>
              <w:t>e przez pracowników problemów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obsługę zgłaszanych problemów przez pracowników obsługi technicznej, moduł raportowania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obejmujący wszelkie aspekty związane z audytami oprogramowania, bieżącą konfiguracją monitorowanych komputerów (sprzętową i programową)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prowadzeniem ewidencji posiadanego majątku w zakresie sprzętu i oprogramowania</w:t>
            </w:r>
            <w:r w:rsidRPr="00ED5C2B">
              <w:rPr>
                <w:rFonts w:ascii="Tahoma" w:hAnsi="Tahoma" w:cs="Tahoma"/>
                <w:sz w:val="20"/>
                <w:szCs w:val="20"/>
              </w:rPr>
              <w:t>, moduł umożliwiający rejestrowanie posiadany</w:t>
            </w:r>
            <w:r>
              <w:rPr>
                <w:rFonts w:ascii="Tahoma" w:hAnsi="Tahoma" w:cs="Tahoma"/>
                <w:sz w:val="20"/>
                <w:szCs w:val="20"/>
              </w:rPr>
              <w:t>ch licencji na oprogramowanie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korelowanie ich ręczne oraz automatyczne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 wynikami przeprowadzonych audytów. Funkcjonalność audytu oprogramowania musi wspierać administratora w ocenie stanu legalności zainstalowanego oprogramowania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poprzez rozróżnienie programów komercyjnych od programów, które mogą być użytkowane bez opłat, moduł audytu oprogramowania musi uwzględniać części składowe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wchodzące w skład danego pakietu oprogramowania i raportować je w postaci jednego wpisu. Moduł pomocy zdalnej, gdzie informatyk ze swojej konsoli może się podłączyć do pulpitu pracownika zgłaszającego problem i dokonywać zdalnej diagnozy wraz z możliwością pobierania informacji o działających procesach w systemie zdalnym i możliwością edycji rejestru systemu zdalnego.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Komunikacja pomiędzy agentem a serwerem musi być odpowiednio zabezpieczona przed podsłuchem i przejęciem przez obcy serwer.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 xml:space="preserve">Oprogramowanie równoważne musi wykorzystywać nielimitowane bazy danych dostępne bezpłatnie, takie jak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PostgreSQL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Oprogramowanie równoważne mu</w:t>
            </w:r>
            <w:r>
              <w:rPr>
                <w:rFonts w:ascii="Tahoma" w:hAnsi="Tahoma" w:cs="Tahoma"/>
                <w:sz w:val="20"/>
                <w:szCs w:val="20"/>
              </w:rPr>
              <w:t>si umożliwiać obsługę minimum 27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0 stacji roboczych i co najmniej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konsole zarządzania wraz z prawem do instalacji aktualizacji i wsparciem przez okres minimum jednego roku.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Obsługiwane systemy operacyjne: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minimum </w:t>
            </w:r>
            <w:r>
              <w:rPr>
                <w:rFonts w:ascii="Tahoma" w:hAnsi="Tahoma" w:cs="Tahoma"/>
                <w:sz w:val="20"/>
                <w:szCs w:val="20"/>
              </w:rPr>
              <w:t>Windows 7, Windows </w:t>
            </w:r>
            <w:r w:rsidRPr="00ED5C2B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wersji 32 i 64 bitowej oraz </w:t>
            </w:r>
            <w:r w:rsidRPr="00ED5C2B">
              <w:rPr>
                <w:rFonts w:ascii="Tahoma" w:hAnsi="Tahoma" w:cs="Tahoma"/>
                <w:sz w:val="20"/>
                <w:szCs w:val="20"/>
              </w:rPr>
              <w:t>Windows 2012 R2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 Windows 2016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3B283C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851" w:hanging="73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5.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 xml:space="preserve">Oprogramowanie serwerowe – obsługujące wirtualizację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2 komplety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wsparcia technicznego na poziomie co najmniej podstawowym i prawa do aktualizacji na okres 1 roku dla dwóch kompletów posiadanego przez Zamawiającego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dającego prawo do jego instalacji na 3 serwerach wyposażonych w 2 wielordzeniowe procesory fizyczne każdy. Przedłużenie do pierwszego kompletu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 należy dostarczyć w terminie do 4 grudnia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tak, aby przedłużyć posiadane przez Zamawiającego wsparcie, przedłużenie do drugiego kompletu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 należy dostarczyć w terminie do 10 grudnia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r. tak, aby przedłużyć posiadane przez Zamawiającego wsparcie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200B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lub oprogramowanie równoważne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dające prawo do jego instalacji na minimum 6 serwerach fizycznych, obsługujące co najmniej 2 wielordzeniowe procesory fizyczne na każdym serwerze, bez ograniczeń na liczbę rdzeni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5C2B">
              <w:rPr>
                <w:rFonts w:ascii="Tahoma" w:hAnsi="Tahoma" w:cs="Tahoma"/>
                <w:sz w:val="20"/>
                <w:szCs w:val="20"/>
              </w:rPr>
              <w:t>bez ograniczeń na całkowitą pojemność pamięci RAM serwerów, umożliwiające przypisanie co najmniej 16 procesorów i 64GB pamięci RAM do każdej maszyny wirtualnej wykreowanej w tym oprogramowaniu, z możliwością obsługi co najmniej 50 maszyn wirtualnych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 miarę dostępnych zasobów serwera fizycznego, umożliwiające bezpośrednie podłączenie urządzenia serwera fizycznego (</w:t>
            </w:r>
            <w:r>
              <w:rPr>
                <w:rFonts w:ascii="Tahoma" w:hAnsi="Tahoma" w:cs="Tahoma"/>
                <w:sz w:val="20"/>
                <w:szCs w:val="20"/>
              </w:rPr>
              <w:t>karty SCSI, napęd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taśmowego podłączonego do karty SCSI w serwerze fizycznym</w:t>
            </w:r>
            <w:r>
              <w:rPr>
                <w:rFonts w:ascii="Tahoma" w:hAnsi="Tahoma" w:cs="Tahoma"/>
                <w:sz w:val="20"/>
                <w:szCs w:val="20"/>
              </w:rPr>
              <w:t>, port szeregowy serwera fizycznego, port USB serwera fizycznego</w:t>
            </w:r>
            <w:r w:rsidRPr="00ED5C2B">
              <w:rPr>
                <w:rFonts w:ascii="Tahoma" w:hAnsi="Tahoma" w:cs="Tahoma"/>
                <w:sz w:val="20"/>
                <w:szCs w:val="20"/>
              </w:rPr>
              <w:t>) do wykreowanej maszyny wirtualnej, tak aby ta maszyna sterowała urządzeniem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sposób wyłączny i bezpośrednio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 pośrednictwem właściwych sterowników dla ww. urządzenia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Z </w:t>
            </w:r>
            <w:r w:rsidRPr="00ED5C2B">
              <w:rPr>
                <w:rFonts w:ascii="Tahoma" w:hAnsi="Tahoma" w:cs="Tahoma"/>
                <w:sz w:val="20"/>
                <w:szCs w:val="20"/>
              </w:rPr>
              <w:t>prawem do aktualizacji tego oprogramowania w okresie minimum 1 roku od daty udzielenia licencji Zamawiającemu do najnowszych wersji oprogramowania, gdy taka wersja zostanie opublikowana oraz prawem do wsparcia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okresie 1 roku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od daty udzielenia licencji Zamawiającemu. Oprogramowanie równoważne musi zapewniać podobną wydajność pracy wykreowanych na nim maszyn wirtualnych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zarówno w zakresie IOPS systemu dyskowego, wydajności procesora jak i przepustowości pamięci RAM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. Oprogramowanie równoważne musi posiadać system centralnego zarządzania poszczególnymi instancjami zainstalowanymi na serwerach fizycznych w ramach licencji. Oprogramowanie równoważne musi zapewniać możliwość migracji maszyn wirtualnych pomiędzy serwerami fizycznymi w trakcie ich pracy oraz offline. Oprogramowanie równoważne musi zapewniać wsparcie dla maszyn wirtualnych wykorzystujących co najmniej następujące systemy operacyjne: Windows, Linux,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UnixWare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7.1.4.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W przypadku dostarczenia oprogramowania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należy zapewnić odpowiednie szkolenia dla administratorów z zakresu obsługi i eksploatacji tego oprogramowania oraz migrację środowiska wirtualnego opartego na oprogramowaniu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Essentials Plus Kit na nowe oprogramowanie.</w:t>
            </w:r>
          </w:p>
        </w:tc>
      </w:tr>
    </w:tbl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3B283C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851" w:hanging="70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6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ED5C2B">
              <w:rPr>
                <w:rFonts w:ascii="Tahoma" w:hAnsi="Tahoma" w:cs="Tahoma"/>
                <w:b/>
              </w:rPr>
              <w:t xml:space="preserve">Oprogramowanie do wykonywania kopii zapasowych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co najmniej podstawowego wsparcia technicznego i prawa do aktualizacji w okresie 1 roku dla oprogramowania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Veeam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Backup and Replication Standard licencjonowane dla 6 procesorów dla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200B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Lub oprogramowanie</w:t>
            </w:r>
            <w:r w:rsidRPr="00ED5C2B">
              <w:rPr>
                <w:rFonts w:ascii="Tahoma" w:hAnsi="Tahoma" w:cs="Tahoma"/>
                <w:sz w:val="20"/>
                <w:szCs w:val="20"/>
                <w:u w:val="single"/>
              </w:rPr>
              <w:t xml:space="preserve"> równoważne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zapewniające możliwość wykonywania kopii zapasowych maszyn wirtualnych pracujących na serwerze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lub na oprogra</w:t>
            </w:r>
            <w:r>
              <w:rPr>
                <w:rFonts w:ascii="Tahoma" w:hAnsi="Tahoma" w:cs="Tahoma"/>
                <w:sz w:val="20"/>
                <w:szCs w:val="20"/>
              </w:rPr>
              <w:t>mowaniu, o którym mowa w poz. 5,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dos</w:t>
            </w:r>
            <w:r>
              <w:rPr>
                <w:rFonts w:ascii="Tahoma" w:hAnsi="Tahoma" w:cs="Tahoma"/>
                <w:sz w:val="20"/>
                <w:szCs w:val="20"/>
              </w:rPr>
              <w:t>tarczania produktu równoważnego,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 którym tam mowa, zapewniające co </w:t>
            </w:r>
            <w:r w:rsidRPr="00ED5C2B">
              <w:rPr>
                <w:rFonts w:ascii="Tahoma" w:hAnsi="Tahoma" w:cs="Tahoma"/>
                <w:sz w:val="20"/>
                <w:szCs w:val="20"/>
              </w:rPr>
              <w:lastRenderedPageBreak/>
              <w:t>najmniej następujące możliwości: wykonywanie kopii zapasowych maszyn wirtualnych bez konieczności instalowania na tych maszynach agenta, wykonywanie kopii maszyn wirtualnych w trakcie ich pracy bez wpływu na ich pracę, jak i maszyn wyłączonych, replikacja maszyn wirtualnych na inny serwer fizyczny wyposażony w oprogramowanie do wirtualizacji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zgodnie z harmonogramem, możliwość praktycznie natychmiastowego odtworzenia maszyny z backupu przy wykorzystaniu wystawianego przez oprogramowanie równoważne udziału sieciowego NFS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bazującego na kopii maszyny, obsługa napędów taśmowych LTO do wykonywania archiwizacji maszyn na taśmę, obsługa harmonogramów umożliwiających wykonywanie kopii zapasowych i replikacji danych w określonych odstępach czasowych, obsługa odtwarzania maszyn wirtualnych na dotychczasowym serwerze, jak i nowym serwerze wirtualizacji, obsługa odtwarzania pojedynczych plików maszyn wirtualnych opartych na systemach ope</w:t>
            </w:r>
            <w:r>
              <w:rPr>
                <w:rFonts w:ascii="Tahoma" w:hAnsi="Tahoma" w:cs="Tahoma"/>
                <w:sz w:val="20"/>
                <w:szCs w:val="20"/>
              </w:rPr>
              <w:t>racyjnych co najmniej Windows i </w:t>
            </w:r>
            <w:r w:rsidRPr="00ED5C2B">
              <w:rPr>
                <w:rFonts w:ascii="Tahoma" w:hAnsi="Tahoma" w:cs="Tahoma"/>
                <w:sz w:val="20"/>
                <w:szCs w:val="20"/>
              </w:rPr>
              <w:t>Linux. Oprogramowanie równoważne musi posiadać prawo do aktualizacji i podstawowego wsparcia technicznego w okresie jednego roku od daty udzielenia licencji Zamawiającemu. Oprogramowanie równoważne musi zapewniać możliwość obsługi 3 serwerów fizycznych wyposażonych w 2 procesory każdy. Licencja oprogramowania równoważnego musi zapewniać możliwość dalszego zwiększenia ilości obsługiwanych serwerów poprzez zakup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D5C2B">
              <w:rPr>
                <w:rFonts w:ascii="Tahoma" w:hAnsi="Tahoma" w:cs="Tahoma"/>
                <w:sz w:val="20"/>
                <w:szCs w:val="20"/>
              </w:rPr>
              <w:t>dodanie przez Zamawiającego kolejnych licencji.</w:t>
            </w:r>
          </w:p>
        </w:tc>
      </w:tr>
    </w:tbl>
    <w:p w:rsidR="000A31D5" w:rsidRDefault="000A31D5" w:rsidP="000A31D5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p w:rsidR="000A31D5" w:rsidRDefault="000A31D5" w:rsidP="000A31D5">
      <w:pPr>
        <w:ind w:left="5664" w:hanging="5664"/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466"/>
        <w:gridCol w:w="2835"/>
      </w:tblGrid>
      <w:tr w:rsidR="000A31D5" w:rsidRPr="00ED5C2B" w:rsidTr="003B283C">
        <w:trPr>
          <w:trHeight w:val="402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851" w:hanging="70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7.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</w:rPr>
              <w:t>Oprogramowanie do obsługi systemu monitoringu wizyjnego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Ilość – 1 licencja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ind w:left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aktualizacja oprogramowania go1984 edycja Ultimate dająca prawo do korzystania z nowych wersji oprogramowania, powstałych minimum w okresie jednego roku od daty udzielenia licencji na aktualizację Zamawiającemu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wraz z bezpłatnym wsparciem na okres jednego roku </w:t>
            </w:r>
          </w:p>
          <w:p w:rsidR="000A31D5" w:rsidRPr="00ED5C2B" w:rsidRDefault="000A31D5" w:rsidP="003B283C">
            <w:pPr>
              <w:ind w:left="17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7200B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lub oprogramowanie równoważne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o podobnej funkcjonalności w zakresie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nielimitowanej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obsługi kamer IP, </w:t>
            </w:r>
            <w:proofErr w:type="spellStart"/>
            <w:r w:rsidRPr="00ED5C2B">
              <w:rPr>
                <w:rFonts w:ascii="Tahoma" w:hAnsi="Tahoma" w:cs="Tahoma"/>
                <w:sz w:val="20"/>
                <w:szCs w:val="20"/>
              </w:rPr>
              <w:t>wideoserwerów</w:t>
            </w:r>
            <w:proofErr w:type="spellEnd"/>
            <w:r w:rsidRPr="00ED5C2B">
              <w:rPr>
                <w:rFonts w:ascii="Tahoma" w:hAnsi="Tahoma" w:cs="Tahoma"/>
                <w:sz w:val="20"/>
                <w:szCs w:val="20"/>
              </w:rPr>
              <w:t xml:space="preserve"> IP, metod składowania i prezentacji danych, obsługi wielu monitorów, obsługi strumieni video kodowanych kodekiem H.264, zapewnienie wsparcia technicznego na okres jednego roku od daty udzielenia licencji Zamawiającemu.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ind w:left="1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Pozostałe: </w:t>
            </w:r>
            <w:r w:rsidRPr="00ED5C2B">
              <w:rPr>
                <w:rFonts w:ascii="Tahoma" w:hAnsi="Tahoma" w:cs="Tahoma"/>
                <w:sz w:val="20"/>
                <w:szCs w:val="20"/>
              </w:rPr>
              <w:t>Oprogramowanie w polskiej wersji językowej, jeśli taka wersja istnieje, w przeciwnym przypadku w angielskiej wersji językowej.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vAlign w:val="center"/>
          </w:tcPr>
          <w:p w:rsidR="000A31D5" w:rsidRPr="00ED5C2B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ind w:left="1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Platforma systemowa: </w:t>
            </w:r>
            <w:r w:rsidRPr="00ED5C2B">
              <w:rPr>
                <w:rFonts w:ascii="Tahoma" w:hAnsi="Tahoma" w:cs="Tahoma"/>
                <w:sz w:val="20"/>
                <w:szCs w:val="20"/>
              </w:rPr>
              <w:t>co najmniej Windows 7, Windows 10.</w:t>
            </w:r>
          </w:p>
        </w:tc>
      </w:tr>
    </w:tbl>
    <w:p w:rsidR="000A31D5" w:rsidRDefault="000A31D5" w:rsidP="000A31D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920"/>
        <w:gridCol w:w="4381"/>
      </w:tblGrid>
      <w:tr w:rsidR="000A31D5" w:rsidRPr="00310E14" w:rsidTr="003B283C">
        <w:trPr>
          <w:trHeight w:val="402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310E14" w:rsidRDefault="000A31D5" w:rsidP="003B283C">
            <w:pPr>
              <w:ind w:left="476" w:hanging="3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8.  </w:t>
            </w:r>
            <w:r w:rsidRPr="00310E14">
              <w:rPr>
                <w:rFonts w:ascii="Tahoma" w:hAnsi="Tahoma" w:cs="Tahoma"/>
                <w:b/>
              </w:rPr>
              <w:t>Firewall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310E14" w:rsidRDefault="000A31D5" w:rsidP="003B283C">
            <w:pPr>
              <w:ind w:left="176" w:right="25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Ilość – 1 komplet</w:t>
            </w:r>
          </w:p>
        </w:tc>
      </w:tr>
      <w:tr w:rsidR="000A31D5" w:rsidRPr="00310E14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310E14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310E14" w:rsidTr="003B283C">
        <w:trPr>
          <w:trHeight w:val="402"/>
        </w:trPr>
        <w:tc>
          <w:tcPr>
            <w:tcW w:w="550" w:type="dxa"/>
            <w:vAlign w:val="center"/>
          </w:tcPr>
          <w:p w:rsidR="000A31D5" w:rsidRPr="00310E14" w:rsidRDefault="000A31D5" w:rsidP="003B283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Wymagania ogólne: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przedłużenie wsparcia technicznego do oprogramowania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Barracuda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NG Firewall Vx250 oraz zapewnienie aktualizacji oprogramowania i aktualizacji następujących modułów oprogramowania: Application Control, IPS</w:t>
            </w:r>
            <w:r>
              <w:rPr>
                <w:rFonts w:ascii="Tahoma" w:hAnsi="Tahoma" w:cs="Tahoma"/>
                <w:sz w:val="20"/>
                <w:szCs w:val="20"/>
              </w:rPr>
              <w:t>/IDS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filter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na okres co najmniej 3 lat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wraz ze zwiększeniem liczby </w:t>
            </w:r>
            <w:r>
              <w:rPr>
                <w:rFonts w:ascii="Tahoma" w:hAnsi="Tahoma" w:cs="Tahoma"/>
                <w:sz w:val="20"/>
                <w:szCs w:val="20"/>
              </w:rPr>
              <w:t>równocześnie obsługiwanych adresów IP do 500.</w:t>
            </w:r>
          </w:p>
          <w:p w:rsidR="000A31D5" w:rsidRPr="0007200B" w:rsidRDefault="000A31D5" w:rsidP="003B283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07200B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lub oprogramowanie lub urządzenie o równoważnej funkcjonalności, cechujące się co najmniej następującymi możliwościami: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Filtrowanie pakietów oparte na kontroli stanu połączenia (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Stateful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Inspection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Firewall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protokołów minimum IPv4, IPv6, ARP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Ochrona przed atakami minimum Dos/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DDos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IP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spoofing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SYN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flooding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flood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ping oraz ochrona przed skanowaniem portów i adresów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flirtowania pakietów dla protokołów dynamicznych minimum: RPC (ONC-RPC, DCE-RPC), SIP, H.323, SCCP, FTP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Obsługa flirtowania pakietów dla protokołów wykorzystujących porty statyczne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wielu łącz internetowych z możliwością automatycznego ich przełączania w momencie awarii, jak również z możliwością wykorzystywania kilku łącz równocześnie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minimum za pomocą technologii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multipath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routing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pakietów o zwykłej wielkości jak i tzw. jumbo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o wielkości minimum </w:t>
            </w:r>
            <w:r>
              <w:rPr>
                <w:rFonts w:ascii="Tahoma" w:hAnsi="Tahoma" w:cs="Tahoma"/>
                <w:sz w:val="20"/>
                <w:szCs w:val="20"/>
              </w:rPr>
              <w:t>9000</w:t>
            </w:r>
            <w:r w:rsidRPr="00310E14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funkcjonalności przezroczystego Proxy minimum dla protokołu TCP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w protokole IPv4 funkcji NAT (co najmniej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source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destination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), NAPT, PAT, Proxy ARP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VPN w zakresie: zestawiania połączeń za pomocą protokołów PPTP, L2TP,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Tina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obsługa algorytmów szyfrowan</w:t>
            </w:r>
            <w:r>
              <w:rPr>
                <w:rFonts w:ascii="Tahoma" w:hAnsi="Tahoma" w:cs="Tahoma"/>
                <w:sz w:val="20"/>
                <w:szCs w:val="20"/>
              </w:rPr>
              <w:t>ia minimum AES128, AES256, 3DES.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>bsługa zarządzania ruchem w obrębie sieci VPN za pomocą techno</w:t>
            </w:r>
            <w:r>
              <w:rPr>
                <w:rFonts w:ascii="Tahoma" w:hAnsi="Tahoma" w:cs="Tahoma"/>
                <w:sz w:val="20"/>
                <w:szCs w:val="20"/>
              </w:rPr>
              <w:t xml:space="preserve">logii minimum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 obsługą minimum 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priorytetów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tym jeden priorytet dla ruchu VoIP minimalizujący opóźnieni</w:t>
            </w:r>
            <w:r>
              <w:rPr>
                <w:rFonts w:ascii="Tahoma" w:hAnsi="Tahoma" w:cs="Tahoma"/>
                <w:sz w:val="20"/>
                <w:szCs w:val="20"/>
              </w:rPr>
              <w:t>a.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ograniczenia pasma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jakie dany tunel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ma wykorzystywać w ramach łącza, możliwość kompresji danych przes</w:t>
            </w:r>
            <w:r>
              <w:rPr>
                <w:rFonts w:ascii="Tahoma" w:hAnsi="Tahoma" w:cs="Tahoma"/>
                <w:sz w:val="20"/>
                <w:szCs w:val="20"/>
              </w:rPr>
              <w:t>yłanych przez zestawiony tunel.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zestawiania tunelu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przy wykorzystaniu ki</w:t>
            </w:r>
            <w:r w:rsidR="003F4168">
              <w:rPr>
                <w:rFonts w:ascii="Tahoma" w:hAnsi="Tahoma" w:cs="Tahoma"/>
                <w:sz w:val="20"/>
                <w:szCs w:val="20"/>
              </w:rPr>
              <w:t>l</w:t>
            </w:r>
            <w:r w:rsidRPr="00310E14">
              <w:rPr>
                <w:rFonts w:ascii="Tahoma" w:hAnsi="Tahoma" w:cs="Tahoma"/>
                <w:sz w:val="20"/>
                <w:szCs w:val="20"/>
              </w:rPr>
              <w:t>ku łączy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na zasadzie wykorzystywania kilku kanałów fizycznych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wchodzących w skład danego tunelu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>bsługa minimum 4 kanałów na jeden tunel wraz z możliwością agregacji wydajności poszczególnych kanałów na poziomie sesji i na poziomie pojedynczych pakietów, możliwość wyznaczania kanałów zapasowych, detekcja uszkodzenia danego kanału i przełączenie ruchu na sprawne kanały w przypadku uszkodzenia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rozłączenia tunelu.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zestawiania tuneli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VPN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zarówno na łączach internetowych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jak i łączach de</w:t>
            </w:r>
            <w:r>
              <w:rPr>
                <w:rFonts w:ascii="Tahoma" w:hAnsi="Tahoma" w:cs="Tahoma"/>
                <w:sz w:val="20"/>
                <w:szCs w:val="20"/>
              </w:rPr>
              <w:t>dykowanych do transmisji danych.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K</w:t>
            </w:r>
            <w:r w:rsidRPr="00310E14">
              <w:rPr>
                <w:rFonts w:ascii="Tahoma" w:hAnsi="Tahoma" w:cs="Tahoma"/>
                <w:sz w:val="20"/>
                <w:szCs w:val="20"/>
              </w:rPr>
              <w:t>lient d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zestawiania tuneli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dla minimum oprogramowania Windows wraz z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 zintegrowanym firewallem i możliwością centralnej konfiguracji ustawień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ze wsparciem dla funkcji ESET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Secure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Authe</w:t>
            </w:r>
            <w:r w:rsidRPr="00E27159">
              <w:rPr>
                <w:rFonts w:ascii="Tahoma" w:hAnsi="Tahoma" w:cs="Tahoma"/>
                <w:sz w:val="20"/>
                <w:szCs w:val="20"/>
              </w:rPr>
              <w:t>ntication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6F35">
              <w:rPr>
                <w:rFonts w:ascii="Tahoma" w:hAnsi="Tahoma" w:cs="Tahoma"/>
                <w:sz w:val="20"/>
                <w:szCs w:val="20"/>
              </w:rPr>
              <w:t xml:space="preserve">oraz klient do zestawiania tuneli </w:t>
            </w:r>
            <w:proofErr w:type="spellStart"/>
            <w:r w:rsidRPr="00686F35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686F35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686F35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686F35">
              <w:rPr>
                <w:rFonts w:ascii="Tahoma" w:hAnsi="Tahoma" w:cs="Tahoma"/>
                <w:sz w:val="20"/>
                <w:szCs w:val="20"/>
              </w:rPr>
              <w:t xml:space="preserve"> dla minimum oprogramowania </w:t>
            </w:r>
            <w:r>
              <w:rPr>
                <w:rFonts w:ascii="Tahoma" w:hAnsi="Tahoma" w:cs="Tahoma"/>
                <w:sz w:val="20"/>
                <w:szCs w:val="20"/>
              </w:rPr>
              <w:t>Windows.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M</w:t>
            </w:r>
            <w:r w:rsidRPr="00310E14">
              <w:rPr>
                <w:rFonts w:ascii="Tahoma" w:hAnsi="Tahoma" w:cs="Tahoma"/>
                <w:sz w:val="20"/>
                <w:szCs w:val="20"/>
              </w:rPr>
              <w:t>ożliwość budowy tuneli VPN w strukturze gwiaździstej z jednoczesnym zapewnieniem komunikacji pomiędzy wszystkimi lokalizacjami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Zarządzanie ruchem w zakresie: limitowania pasma za pomocą technologii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z obsługą minimum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priorytetów i dynamicznym podziałem dostępnego pasma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zależności od poziomu ruchu wygenerowanego dla danego priorytetu ogólnie 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zależności od przynależności do danej grupy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przez użytkownika, funkcja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Monitoring ruchu sieciowego z możliwością osobnej obserwacji ruchu generowanego przez protokoły dynamicznie otwierające porty, takie jak SIP, RPC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funkcji IPS i IDS wraz z aktualizacją sygnatur i możliwością tworzenia własnych </w:t>
            </w:r>
            <w:r>
              <w:rPr>
                <w:rFonts w:ascii="Tahoma" w:hAnsi="Tahoma" w:cs="Tahoma"/>
                <w:sz w:val="20"/>
                <w:szCs w:val="20"/>
              </w:rPr>
              <w:t>polis i </w:t>
            </w:r>
            <w:r w:rsidRPr="005558C7">
              <w:rPr>
                <w:rFonts w:ascii="Tahoma" w:hAnsi="Tahoma" w:cs="Tahoma"/>
                <w:sz w:val="20"/>
                <w:szCs w:val="20"/>
              </w:rPr>
              <w:t>definiowania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5558C7">
              <w:rPr>
                <w:rFonts w:ascii="Tahoma" w:hAnsi="Tahoma" w:cs="Tahoma"/>
                <w:sz w:val="20"/>
                <w:szCs w:val="20"/>
              </w:rPr>
              <w:t xml:space="preserve"> w ramach własnych polis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5558C7">
              <w:rPr>
                <w:rFonts w:ascii="Tahoma" w:hAnsi="Tahoma" w:cs="Tahoma"/>
                <w:sz w:val="20"/>
                <w:szCs w:val="20"/>
              </w:rPr>
              <w:t xml:space="preserve"> sposobów reakcji systemu na pakiety zawierające poszczególne sygnatury będące w bazie systemu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inspekcji ruchu w protokołach nieszyfrowanych, jak i w protokołach szyfrowanych minimum </w:t>
            </w:r>
            <w:r>
              <w:rPr>
                <w:rFonts w:ascii="Tahoma" w:hAnsi="Tahoma" w:cs="Tahoma"/>
                <w:sz w:val="20"/>
                <w:szCs w:val="20"/>
              </w:rPr>
              <w:t>SSL/TLS.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Obsługa funkcji filtrowania ruchu w warstwie </w:t>
            </w:r>
            <w:r>
              <w:rPr>
                <w:rFonts w:ascii="Tahoma" w:hAnsi="Tahoma" w:cs="Tahoma"/>
                <w:sz w:val="20"/>
                <w:szCs w:val="20"/>
              </w:rPr>
              <w:t>7 protokołu TCP/IP dla minimum 10</w:t>
            </w:r>
            <w:r w:rsidRPr="00310E14">
              <w:rPr>
                <w:rFonts w:ascii="Tahoma" w:hAnsi="Tahoma" w:cs="Tahoma"/>
                <w:sz w:val="20"/>
                <w:szCs w:val="20"/>
              </w:rPr>
              <w:t>00 aplikacji typu P2P, komunikatory, gry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Wbudowane w rozwiązanie równoważne serwery DHCP, DNS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funkcji Proxy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http,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ssh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ftp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filtrowania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wraz z aktualizacja zbiorów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url’i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przez producenta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Bramka SMTP z filtrem protokołu SMTP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Uwierzytelnianie klientów za pomocą protokołów i technologii minimum x.509, NTLM, Radius, RSA Securit, LDAP/LDAPS, Active Directory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Funkcjonalność wprowadzenia modyfikacji reguł filtrowania i konfiguracji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rozwiązania,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a następnie aktywowania wszystkich wprowadzonych zmian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logowaniem wprowadzonych zmian i możliwością weryfikacji i powrotu do stanu sprzed zmiany.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  <w:szCs w:val="20"/>
              </w:rPr>
              <w:t>Możliwość testowania reguł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pomocą wbudowanego narzędzia do weryfikacji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tworzenia własnych obiektów sieciowych (minimum definiowane przez adresy IP, grupy adresów IP, zakresy adresów IP) wraz z możliwością nazywania zdefiniowanych obiektów i ich wykorzystywania w regułach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tworzenia własnych obiektów dla protokołów opartych na portach statycznych,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 i </w:t>
            </w:r>
            <w:r w:rsidRPr="00310E14">
              <w:rPr>
                <w:rFonts w:ascii="Tahoma" w:hAnsi="Tahoma" w:cs="Tahoma"/>
                <w:sz w:val="20"/>
                <w:szCs w:val="20"/>
              </w:rPr>
              <w:t>portach dynamicznych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Możliwość tworzenia dynamicznych reguł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opartych o przypisanie użytkownika do grupy, przedział czasowy, w jakim dana reguła ma działać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Możliwość podzielenia reguł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na grupy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oparciu o adresacje IP, używane protokoły, następnie filtrowanie pakietów z wykorzystaniem zdefiniowanej kaskady bazującej na stworzonych grupach</w:t>
            </w:r>
            <w:r w:rsidRPr="00310E1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tak aby filtrowany ruch sieciowy przechodził przez jak najmniej reguł.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Generowanie statystyk ruchu przepływającego przez rozwiązanie w czasie zbliżonym do rzeczywistego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Obsługa routingu z trasami definiowanymi zarówno statycznie, jak i dynamicznie wraz z obsługą protokołów OSPF i RIP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>Możliwość zarządzania rozwiązaniem zdalnie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za pomocą oprogramowania działającego na platformie Windows lub za pomocą przeglądarki Web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C73B0E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3B0E">
              <w:rPr>
                <w:rFonts w:ascii="Tahoma" w:hAnsi="Tahoma" w:cs="Tahoma"/>
                <w:sz w:val="20"/>
                <w:szCs w:val="20"/>
              </w:rPr>
              <w:t>Rozwiązanie równoważne musi posiadać certyfikat zgodności ze standard</w:t>
            </w:r>
            <w:r w:rsidRPr="00E27159">
              <w:rPr>
                <w:rFonts w:ascii="Tahoma" w:hAnsi="Tahoma" w:cs="Tahoma"/>
                <w:sz w:val="20"/>
                <w:szCs w:val="20"/>
              </w:rPr>
              <w:t xml:space="preserve">em </w:t>
            </w:r>
            <w:proofErr w:type="spellStart"/>
            <w:r w:rsidRPr="00E2715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w zakresie VPNC Basic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 także</w:t>
            </w:r>
            <w:r w:rsidRPr="00E27159">
              <w:rPr>
                <w:rFonts w:ascii="Tahoma" w:hAnsi="Tahoma" w:cs="Tahoma"/>
                <w:sz w:val="20"/>
                <w:szCs w:val="20"/>
              </w:rPr>
              <w:t xml:space="preserve"> musi spełniać wymagania normy ISO 15408 </w:t>
            </w:r>
            <w:proofErr w:type="spellStart"/>
            <w:r w:rsidRPr="00E27159">
              <w:rPr>
                <w:rFonts w:ascii="Tahoma" w:hAnsi="Tahoma" w:cs="Tahoma"/>
                <w:sz w:val="20"/>
                <w:szCs w:val="20"/>
              </w:rPr>
              <w:t>Common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159">
              <w:rPr>
                <w:rFonts w:ascii="Tahoma" w:hAnsi="Tahoma" w:cs="Tahoma"/>
                <w:sz w:val="20"/>
                <w:szCs w:val="20"/>
              </w:rPr>
              <w:t>Criteria</w:t>
            </w:r>
            <w:proofErr w:type="spellEnd"/>
            <w:r w:rsidRPr="00E27159">
              <w:rPr>
                <w:rFonts w:ascii="Tahoma" w:hAnsi="Tahoma" w:cs="Tahoma"/>
                <w:sz w:val="20"/>
                <w:szCs w:val="20"/>
              </w:rPr>
              <w:t xml:space="preserve"> na poziomie EAL 4+ </w:t>
            </w:r>
            <w:r w:rsidRPr="00686F35">
              <w:rPr>
                <w:rFonts w:ascii="Tahoma" w:hAnsi="Tahoma" w:cs="Tahoma"/>
                <w:sz w:val="20"/>
                <w:szCs w:val="20"/>
              </w:rPr>
              <w:t xml:space="preserve">lub musi posiadać certyfikat </w:t>
            </w:r>
            <w:r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ICSA </w:t>
            </w:r>
            <w:proofErr w:type="spellStart"/>
            <w:r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Labs</w:t>
            </w:r>
            <w:proofErr w:type="spellEnd"/>
            <w:r w:rsidRPr="00686F35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minimum w zakresie Network Firewall</w:t>
            </w:r>
            <w:r w:rsidRPr="00C73B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Rozwiązanie równoważne musi mieć możliwość zestawienia tuneli VPN przy wykorzystaniu protokołu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Tina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VP</w:t>
            </w:r>
            <w:r>
              <w:rPr>
                <w:rFonts w:ascii="Tahoma" w:hAnsi="Tahoma" w:cs="Tahoma"/>
                <w:sz w:val="20"/>
                <w:szCs w:val="20"/>
              </w:rPr>
              <w:t xml:space="preserve">N z pozostałymi firewallami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Barrac</w:t>
            </w:r>
            <w:r w:rsidRPr="00310E14">
              <w:rPr>
                <w:rFonts w:ascii="Tahoma" w:hAnsi="Tahoma" w:cs="Tahoma"/>
                <w:sz w:val="20"/>
                <w:szCs w:val="20"/>
              </w:rPr>
              <w:t>uda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NG Firewall eksploatowanymi przez Zamawiającego.</w:t>
            </w:r>
          </w:p>
          <w:p w:rsidR="000A31D5" w:rsidRPr="00310E14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 przypadku zaoferowania sprzętowego rozwiązania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takie urządzenie musi być wyposażone w minimum 8 niezależnych portów Ethernet zakończonych złączem RJ-45 o wydajności 10/100/1000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obsługujących funkcję 802.1q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1 port 10Gigabit</w:t>
            </w:r>
            <w:r w:rsidRPr="00310E14">
              <w:rPr>
                <w:rFonts w:ascii="Tahoma" w:hAnsi="Tahoma" w:cs="Tahoma"/>
                <w:sz w:val="20"/>
                <w:szCs w:val="20"/>
              </w:rPr>
              <w:t>, urządzenie takie musi zapewniać obsługę co najmniej 10 segmentów sieci. Wydajność takiego urządzenia w zakresie filtrowania pakie</w:t>
            </w:r>
            <w:r>
              <w:rPr>
                <w:rFonts w:ascii="Tahoma" w:hAnsi="Tahoma" w:cs="Tahoma"/>
                <w:sz w:val="20"/>
                <w:szCs w:val="20"/>
              </w:rPr>
              <w:t>tów nie może być mniejsza, jak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i, w zakresie filtrowania IPS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nie może być mniejsza jak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liczba chronionych adresów IP nie mniejsza jak 500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 przypadku zaoferowania programowego rozwiązania równoważnego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takie rozwiązanie musi umożliwiać obsługę minimum 8 fizycznych kart sieciowych Ethernet o wydajności 10/100/1000 obsługujących funkcję 802.1q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minimum 1 kartę sieciową 10Gigabit</w:t>
            </w:r>
            <w:r w:rsidRPr="00310E14">
              <w:rPr>
                <w:rFonts w:ascii="Tahoma" w:hAnsi="Tahoma" w:cs="Tahoma"/>
                <w:sz w:val="20"/>
                <w:szCs w:val="20"/>
              </w:rPr>
              <w:t>, musi umożliwiać obsługę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 najmniej 10 segmentów sieci, musi umożliwiać ochronę co najmniej 500 adresów IP.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programowanie </w:t>
            </w:r>
            <w:r>
              <w:rPr>
                <w:rFonts w:ascii="Tahoma" w:hAnsi="Tahoma" w:cs="Tahoma"/>
                <w:sz w:val="20"/>
                <w:szCs w:val="20"/>
              </w:rPr>
              <w:t>równoważne musi być dostarczone w formie maszyny wirtualnej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możliwej do uruchomienia na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bazie oprogramowania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A31D5" w:rsidRPr="00310E14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Do rozwiązania równoważnego należy zapewnić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okresie co najmniej 3 lat od daty zakupu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prawo do aktualizacji sygnatur i baz, prawo do aktualizacji rozwiązania, wsparcie techniczne realizowane minimum w trybie 8x5 (przez 8 godzin w dni robocze) minimum w języku polskim.</w:t>
            </w:r>
          </w:p>
          <w:p w:rsidR="000A31D5" w:rsidRPr="00310E14" w:rsidRDefault="000A31D5" w:rsidP="003F4168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W przypadku dostarczenia rozwiązania równoważnego</w:t>
            </w:r>
            <w:r w:rsidR="003F4168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należy zapewnić </w:t>
            </w:r>
            <w:r w:rsidRPr="00310E14">
              <w:rPr>
                <w:rFonts w:ascii="Tahoma" w:hAnsi="Tahoma" w:cs="Tahoma"/>
                <w:sz w:val="20"/>
                <w:szCs w:val="20"/>
              </w:rPr>
              <w:t>szkolenie dla minimum 2 administratorów z zakresu eksploatacji i zaawansowanej konfiguracji ww. rozwiązania, szkolenie musi być zrealizowane w Warszawie oraz należy zapewnić migrację posiadanego przez Zamawiającego rozwiązania do rozwiązania równoważnego.</w:t>
            </w:r>
          </w:p>
        </w:tc>
      </w:tr>
    </w:tbl>
    <w:p w:rsidR="000A31D5" w:rsidRDefault="000A31D5" w:rsidP="000A31D5">
      <w:pPr>
        <w:tabs>
          <w:tab w:val="left" w:pos="540"/>
          <w:tab w:val="left" w:pos="6946"/>
        </w:tabs>
        <w:rPr>
          <w:rFonts w:ascii="Tahoma" w:hAnsi="Tahoma" w:cs="Tahoma"/>
          <w:b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6324"/>
        <w:gridCol w:w="2977"/>
      </w:tblGrid>
      <w:tr w:rsidR="000A31D5" w:rsidRPr="00ED5C2B" w:rsidTr="003B283C">
        <w:trPr>
          <w:trHeight w:val="402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480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.   </w:t>
            </w:r>
            <w:r w:rsidRPr="00ED5C2B">
              <w:rPr>
                <w:rFonts w:ascii="Tahoma" w:hAnsi="Tahoma" w:cs="Tahoma"/>
                <w:b/>
              </w:rPr>
              <w:t xml:space="preserve">Licencje dostępowe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ind w:left="174"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25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licencji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C12D74" w:rsidRDefault="000A31D5" w:rsidP="003B28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Wymagania ogólne: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przedłużenie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assurance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do licencji Windows Server User CAL. Przedłużenie </w:t>
            </w:r>
            <w:r w:rsidRPr="00ED5C2B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ależy dostarczyć w terminie do 24</w:t>
            </w:r>
            <w:r w:rsidRPr="00ED5C2B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listopada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Pozostałe wymagania: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prawo 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uzyskiwania dostępu do nowszych wersji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ww. oprogramowania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opublikowanych 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 okresie minimum 2 lat od daty </w:t>
            </w:r>
            <w:r>
              <w:rPr>
                <w:rFonts w:ascii="Tahoma" w:hAnsi="Tahoma" w:cs="Tahoma"/>
                <w:sz w:val="20"/>
                <w:szCs w:val="20"/>
              </w:rPr>
              <w:t>przedłużenia,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pojawienia się </w:t>
            </w:r>
            <w:r>
              <w:rPr>
                <w:rFonts w:ascii="Tahoma" w:hAnsi="Tahoma" w:cs="Tahoma"/>
                <w:sz w:val="20"/>
                <w:szCs w:val="20"/>
              </w:rPr>
              <w:t>takich wersji</w:t>
            </w:r>
            <w:r w:rsidRPr="00ED5C2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A31D5" w:rsidRPr="00ED5C2B" w:rsidTr="003B283C">
        <w:trPr>
          <w:trHeight w:val="4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D5" w:rsidRPr="00ED5C2B" w:rsidRDefault="000A31D5" w:rsidP="003B283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Typ licencjonowania: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Grupowe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0A31D5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0A31D5" w:rsidRPr="00ED5C2B" w:rsidRDefault="000A31D5" w:rsidP="000A31D5">
      <w:pPr>
        <w:ind w:left="5664" w:hanging="5664"/>
        <w:rPr>
          <w:rFonts w:ascii="Tahoma" w:hAnsi="Tahoma" w:cs="Tahoma"/>
          <w:b/>
          <w:sz w:val="19"/>
          <w:szCs w:val="19"/>
        </w:rPr>
      </w:pPr>
    </w:p>
    <w:p w:rsidR="00490066" w:rsidRDefault="00490066" w:rsidP="000A31D5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F13BFA"/>
    <w:multiLevelType w:val="multilevel"/>
    <w:tmpl w:val="79C613D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00E7765"/>
    <w:multiLevelType w:val="multilevel"/>
    <w:tmpl w:val="2FD44A5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1E85BA0"/>
    <w:multiLevelType w:val="hybridMultilevel"/>
    <w:tmpl w:val="4E7A3668"/>
    <w:lvl w:ilvl="0" w:tplc="3BD266EE">
      <w:start w:val="1"/>
      <w:numFmt w:val="lowerLetter"/>
      <w:lvlText w:val="%1)"/>
      <w:lvlJc w:val="left"/>
      <w:pPr>
        <w:tabs>
          <w:tab w:val="num" w:pos="-741"/>
        </w:tabs>
        <w:ind w:left="-7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922" w:hanging="360"/>
      </w:pPr>
    </w:lvl>
    <w:lvl w:ilvl="2" w:tplc="0415001B" w:tentative="1">
      <w:start w:val="1"/>
      <w:numFmt w:val="lowerRoman"/>
      <w:lvlText w:val="%3."/>
      <w:lvlJc w:val="right"/>
      <w:pPr>
        <w:ind w:left="-2202" w:hanging="180"/>
      </w:pPr>
    </w:lvl>
    <w:lvl w:ilvl="3" w:tplc="0415000F" w:tentative="1">
      <w:start w:val="1"/>
      <w:numFmt w:val="decimal"/>
      <w:lvlText w:val="%4."/>
      <w:lvlJc w:val="left"/>
      <w:pPr>
        <w:ind w:left="-1482" w:hanging="360"/>
      </w:pPr>
    </w:lvl>
    <w:lvl w:ilvl="4" w:tplc="04150019" w:tentative="1">
      <w:start w:val="1"/>
      <w:numFmt w:val="lowerLetter"/>
      <w:lvlText w:val="%5."/>
      <w:lvlJc w:val="left"/>
      <w:pPr>
        <w:ind w:left="-762" w:hanging="360"/>
      </w:pPr>
    </w:lvl>
    <w:lvl w:ilvl="5" w:tplc="0415001B" w:tentative="1">
      <w:start w:val="1"/>
      <w:numFmt w:val="lowerRoman"/>
      <w:lvlText w:val="%6."/>
      <w:lvlJc w:val="right"/>
      <w:pPr>
        <w:ind w:left="-42" w:hanging="180"/>
      </w:pPr>
    </w:lvl>
    <w:lvl w:ilvl="6" w:tplc="0415000F" w:tentative="1">
      <w:start w:val="1"/>
      <w:numFmt w:val="decimal"/>
      <w:lvlText w:val="%7."/>
      <w:lvlJc w:val="left"/>
      <w:pPr>
        <w:ind w:left="678" w:hanging="360"/>
      </w:pPr>
    </w:lvl>
    <w:lvl w:ilvl="7" w:tplc="04150019" w:tentative="1">
      <w:start w:val="1"/>
      <w:numFmt w:val="lowerLetter"/>
      <w:lvlText w:val="%8."/>
      <w:lvlJc w:val="left"/>
      <w:pPr>
        <w:ind w:left="1398" w:hanging="360"/>
      </w:pPr>
    </w:lvl>
    <w:lvl w:ilvl="8" w:tplc="0415001B" w:tentative="1">
      <w:start w:val="1"/>
      <w:numFmt w:val="lowerRoman"/>
      <w:lvlText w:val="%9."/>
      <w:lvlJc w:val="right"/>
      <w:pPr>
        <w:ind w:left="2118" w:hanging="180"/>
      </w:pPr>
    </w:lvl>
  </w:abstractNum>
  <w:abstractNum w:abstractNumId="4">
    <w:nsid w:val="35CA541F"/>
    <w:multiLevelType w:val="multilevel"/>
    <w:tmpl w:val="80641BF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A9F2290"/>
    <w:multiLevelType w:val="hybridMultilevel"/>
    <w:tmpl w:val="C05E915A"/>
    <w:lvl w:ilvl="0" w:tplc="08E82C60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>
    <w:nsid w:val="43C3591F"/>
    <w:multiLevelType w:val="multilevel"/>
    <w:tmpl w:val="2528E2D6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0B54784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095D01"/>
    <w:multiLevelType w:val="hybridMultilevel"/>
    <w:tmpl w:val="9FA04A2C"/>
    <w:lvl w:ilvl="0" w:tplc="E90C1D40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>
    <w:nsid w:val="6CDF7A7C"/>
    <w:multiLevelType w:val="multilevel"/>
    <w:tmpl w:val="5D5AA43A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9656877"/>
    <w:multiLevelType w:val="hybridMultilevel"/>
    <w:tmpl w:val="91F29358"/>
    <w:lvl w:ilvl="0" w:tplc="DF988F58">
      <w:start w:val="1"/>
      <w:numFmt w:val="lowerLetter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55"/>
    <w:rsid w:val="00052455"/>
    <w:rsid w:val="0007200B"/>
    <w:rsid w:val="0008097B"/>
    <w:rsid w:val="000A31D5"/>
    <w:rsid w:val="003F2C5B"/>
    <w:rsid w:val="003F4168"/>
    <w:rsid w:val="00490066"/>
    <w:rsid w:val="00881E5C"/>
    <w:rsid w:val="00AF4FFC"/>
    <w:rsid w:val="00BC67CB"/>
    <w:rsid w:val="00CB0A36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5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D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31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5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5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5419</Words>
  <Characters>32514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6</cp:revision>
  <dcterms:created xsi:type="dcterms:W3CDTF">2017-10-05T10:17:00Z</dcterms:created>
  <dcterms:modified xsi:type="dcterms:W3CDTF">2017-10-06T08:52:00Z</dcterms:modified>
</cp:coreProperties>
</file>