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D5" w:rsidRPr="00310E14" w:rsidRDefault="000A31D5" w:rsidP="000A31D5">
      <w:pPr>
        <w:ind w:left="5954" w:hanging="6238"/>
        <w:rPr>
          <w:rFonts w:ascii="Tahoma" w:hAnsi="Tahoma" w:cs="Tahoma"/>
          <w:b/>
          <w:sz w:val="20"/>
          <w:szCs w:val="20"/>
        </w:rPr>
      </w:pPr>
      <w:bookmarkStart w:id="0" w:name="_GoBack"/>
      <w:r w:rsidRPr="00310E14">
        <w:rPr>
          <w:rFonts w:ascii="Tahoma" w:hAnsi="Tahoma" w:cs="Tahoma"/>
          <w:b/>
          <w:color w:val="000000"/>
          <w:sz w:val="20"/>
          <w:szCs w:val="20"/>
        </w:rPr>
        <w:t>Nume</w:t>
      </w:r>
      <w:r w:rsidRPr="00310E14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95E71">
        <w:rPr>
          <w:rFonts w:ascii="Tahoma" w:hAnsi="Tahoma" w:cs="Tahoma"/>
          <w:b/>
          <w:sz w:val="20"/>
          <w:szCs w:val="20"/>
        </w:rPr>
        <w:t xml:space="preserve">  </w:t>
      </w:r>
      <w:r w:rsidR="00921E35">
        <w:rPr>
          <w:rFonts w:ascii="Tahoma" w:hAnsi="Tahoma" w:cs="Tahoma"/>
          <w:b/>
          <w:sz w:val="20"/>
          <w:szCs w:val="20"/>
        </w:rPr>
        <w:t>11</w:t>
      </w:r>
      <w:r w:rsidR="00CB0A36">
        <w:rPr>
          <w:rFonts w:ascii="Tahoma" w:hAnsi="Tahoma" w:cs="Tahoma"/>
          <w:b/>
          <w:sz w:val="20"/>
          <w:szCs w:val="20"/>
        </w:rPr>
        <w:t>/2</w:t>
      </w:r>
      <w:r w:rsidRPr="00CB0A36">
        <w:rPr>
          <w:rFonts w:ascii="Tahoma" w:hAnsi="Tahoma" w:cs="Tahoma"/>
          <w:b/>
          <w:sz w:val="20"/>
          <w:szCs w:val="20"/>
        </w:rPr>
        <w:t>01</w:t>
      </w:r>
      <w:r w:rsidR="00295E71">
        <w:rPr>
          <w:rFonts w:ascii="Tahoma" w:hAnsi="Tahoma" w:cs="Tahoma"/>
          <w:b/>
          <w:sz w:val="20"/>
          <w:szCs w:val="20"/>
        </w:rPr>
        <w:t>8</w:t>
      </w:r>
      <w:r w:rsidRPr="00310E14">
        <w:rPr>
          <w:rFonts w:ascii="Tahoma" w:hAnsi="Tahoma" w:cs="Tahoma"/>
          <w:b/>
          <w:sz w:val="20"/>
          <w:szCs w:val="20"/>
        </w:rPr>
        <w:tab/>
        <w:t>Załącznik nr 1</w:t>
      </w:r>
      <w:r w:rsidR="00295E71">
        <w:rPr>
          <w:rFonts w:ascii="Tahoma" w:hAnsi="Tahoma" w:cs="Tahoma"/>
          <w:b/>
          <w:sz w:val="20"/>
          <w:szCs w:val="20"/>
        </w:rPr>
        <w:t>b</w:t>
      </w:r>
      <w:r w:rsidRPr="00310E14">
        <w:rPr>
          <w:rFonts w:ascii="Tahoma" w:hAnsi="Tahoma" w:cs="Tahoma"/>
          <w:b/>
          <w:sz w:val="20"/>
          <w:szCs w:val="20"/>
        </w:rPr>
        <w:t xml:space="preserve"> </w:t>
      </w:r>
      <w:r w:rsidR="00921E35">
        <w:rPr>
          <w:rFonts w:ascii="Tahoma" w:hAnsi="Tahoma" w:cs="Tahoma"/>
          <w:b/>
          <w:sz w:val="20"/>
          <w:szCs w:val="20"/>
        </w:rPr>
        <w:t>do SIWZ</w:t>
      </w:r>
    </w:p>
    <w:bookmarkEnd w:id="0"/>
    <w:p w:rsidR="000A31D5" w:rsidRPr="00310E14" w:rsidRDefault="000A31D5" w:rsidP="000A31D5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:rsidR="000A31D5" w:rsidRPr="00310E14" w:rsidRDefault="000A31D5" w:rsidP="000A31D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31D5" w:rsidRPr="00310E14" w:rsidRDefault="000A31D5" w:rsidP="000A31D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10E14">
        <w:rPr>
          <w:rFonts w:ascii="Tahoma" w:hAnsi="Tahoma" w:cs="Tahoma"/>
          <w:b/>
          <w:bCs/>
          <w:sz w:val="20"/>
          <w:szCs w:val="20"/>
        </w:rPr>
        <w:t>OPIS PRZEDMIOTU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0E14">
        <w:rPr>
          <w:rFonts w:ascii="Tahoma" w:hAnsi="Tahoma" w:cs="Tahoma"/>
          <w:b/>
          <w:bCs/>
          <w:sz w:val="20"/>
          <w:szCs w:val="20"/>
        </w:rPr>
        <w:t>– zwany OPZ</w:t>
      </w:r>
      <w:r>
        <w:rPr>
          <w:rFonts w:ascii="Tahoma" w:hAnsi="Tahoma" w:cs="Tahoma"/>
          <w:b/>
          <w:bCs/>
          <w:sz w:val="20"/>
          <w:szCs w:val="20"/>
        </w:rPr>
        <w:t xml:space="preserve"> DLA CZĘŚCI </w:t>
      </w:r>
      <w:r w:rsidR="00295E71">
        <w:rPr>
          <w:rFonts w:ascii="Tahoma" w:hAnsi="Tahoma" w:cs="Tahoma"/>
          <w:b/>
          <w:bCs/>
          <w:sz w:val="20"/>
          <w:szCs w:val="20"/>
        </w:rPr>
        <w:t>2</w:t>
      </w:r>
      <w:r w:rsidRPr="00310E14">
        <w:rPr>
          <w:rFonts w:ascii="Tahoma" w:hAnsi="Tahoma" w:cs="Tahoma"/>
          <w:b/>
          <w:bCs/>
          <w:sz w:val="20"/>
          <w:szCs w:val="20"/>
        </w:rPr>
        <w:t>.</w:t>
      </w:r>
    </w:p>
    <w:p w:rsidR="000A31D5" w:rsidRPr="00310E14" w:rsidRDefault="000A31D5" w:rsidP="000A31D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31D5" w:rsidRPr="00ED5C2B" w:rsidRDefault="000A31D5" w:rsidP="000A31D5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I.</w:t>
      </w:r>
      <w:r w:rsidRPr="00ED5C2B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0A31D5" w:rsidRPr="00ED5C2B" w:rsidRDefault="000A31D5" w:rsidP="000A31D5">
      <w:pPr>
        <w:widowControl/>
        <w:numPr>
          <w:ilvl w:val="0"/>
          <w:numId w:val="6"/>
        </w:numPr>
        <w:tabs>
          <w:tab w:val="clear" w:pos="90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Przedmiotem zamówienia jest </w:t>
      </w:r>
      <w:r w:rsidRPr="00ED5C2B">
        <w:rPr>
          <w:rFonts w:ascii="Tahoma" w:hAnsi="Tahoma" w:cs="Tahoma"/>
          <w:b/>
          <w:sz w:val="20"/>
          <w:szCs w:val="20"/>
        </w:rPr>
        <w:t>Dostawa oprogramowania dla</w:t>
      </w: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 w:rsidRPr="00ED5C2B">
        <w:rPr>
          <w:rFonts w:ascii="Tahoma" w:hAnsi="Tahoma" w:cs="Tahoma"/>
          <w:b/>
          <w:sz w:val="20"/>
          <w:szCs w:val="20"/>
        </w:rPr>
        <w:t xml:space="preserve">. </w:t>
      </w:r>
    </w:p>
    <w:p w:rsidR="000A31D5" w:rsidRPr="00ED5C2B" w:rsidRDefault="000A31D5" w:rsidP="000A31D5">
      <w:pPr>
        <w:widowControl/>
        <w:numPr>
          <w:ilvl w:val="0"/>
          <w:numId w:val="6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Definicje OPZ: 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Wykonawca</w:t>
      </w:r>
      <w:r w:rsidRPr="00ED5C2B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prawnej. 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567"/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Zamawiający</w:t>
      </w:r>
      <w:r w:rsidRPr="00ED5C2B">
        <w:rPr>
          <w:rFonts w:ascii="Tahoma" w:hAnsi="Tahoma" w:cs="Tahoma"/>
          <w:sz w:val="20"/>
          <w:szCs w:val="20"/>
        </w:rPr>
        <w:t xml:space="preserve"> – Miasto st. Warszawa – Urząd Pracy m.st. Warszawy.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567"/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Opiekun ze strony Zamawiającego lub Opiekun ze strony Wykonawcy, </w:t>
      </w:r>
      <w:r w:rsidRPr="00ED5C2B">
        <w:rPr>
          <w:rFonts w:ascii="Tahoma" w:hAnsi="Tahoma" w:cs="Tahoma"/>
          <w:sz w:val="20"/>
          <w:szCs w:val="20"/>
        </w:rPr>
        <w:t xml:space="preserve">zwany również Opiekunem – osoba upoważniona do kontaktów, wskazana w umowie. 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567"/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Wada </w:t>
      </w:r>
      <w:r w:rsidRPr="00ED5C2B">
        <w:rPr>
          <w:rFonts w:ascii="Tahoma" w:hAnsi="Tahoma" w:cs="Tahoma"/>
          <w:sz w:val="20"/>
          <w:szCs w:val="20"/>
        </w:rPr>
        <w:t xml:space="preserve">– cecha </w:t>
      </w:r>
      <w:r>
        <w:rPr>
          <w:rFonts w:ascii="Tahoma" w:hAnsi="Tahoma" w:cs="Tahoma"/>
          <w:sz w:val="20"/>
          <w:szCs w:val="20"/>
        </w:rPr>
        <w:t>oprogramowania</w:t>
      </w:r>
      <w:r w:rsidRPr="00ED5C2B">
        <w:rPr>
          <w:rFonts w:ascii="Tahoma" w:hAnsi="Tahoma" w:cs="Tahoma"/>
          <w:sz w:val="20"/>
          <w:szCs w:val="20"/>
        </w:rPr>
        <w:t xml:space="preserve"> obniżająca właściwości funkcjonalne, objawiająca się poprzez brak pewnych funkcji, niższą wydajność lub niższą niezawodność pracy w porównaniu z</w:t>
      </w:r>
      <w:r>
        <w:rPr>
          <w:rFonts w:ascii="Tahoma" w:hAnsi="Tahoma" w:cs="Tahoma"/>
          <w:sz w:val="20"/>
          <w:szCs w:val="20"/>
        </w:rPr>
        <w:t> oprogramowaniem</w:t>
      </w:r>
      <w:r w:rsidRPr="00ED5C2B">
        <w:rPr>
          <w:rFonts w:ascii="Tahoma" w:hAnsi="Tahoma" w:cs="Tahoma"/>
          <w:sz w:val="20"/>
          <w:szCs w:val="20"/>
        </w:rPr>
        <w:t xml:space="preserve"> pozbawionym wady. Wada może powodować utratę lub uszkodzenie danych. Za wadę uznaje się również niespełnianie przez oprogramowanie wymagań określonych w pkt III. OPZ</w:t>
      </w:r>
      <w:r>
        <w:rPr>
          <w:rFonts w:ascii="Tahoma" w:hAnsi="Tahoma" w:cs="Tahoma"/>
          <w:sz w:val="20"/>
          <w:szCs w:val="20"/>
        </w:rPr>
        <w:t xml:space="preserve"> dla części </w:t>
      </w:r>
      <w:r w:rsidR="00295E71">
        <w:rPr>
          <w:rFonts w:ascii="Tahoma" w:hAnsi="Tahoma" w:cs="Tahoma"/>
          <w:sz w:val="20"/>
          <w:szCs w:val="20"/>
        </w:rPr>
        <w:t>2</w:t>
      </w:r>
      <w:r w:rsidRPr="00ED5C2B">
        <w:rPr>
          <w:rFonts w:ascii="Tahoma" w:hAnsi="Tahoma" w:cs="Tahoma"/>
          <w:sz w:val="20"/>
          <w:szCs w:val="20"/>
        </w:rPr>
        <w:t xml:space="preserve"> – Warunki szczegółowe. </w:t>
      </w:r>
    </w:p>
    <w:p w:rsidR="000A31D5" w:rsidRPr="00ED5C2B" w:rsidRDefault="000A31D5" w:rsidP="000A31D5">
      <w:pPr>
        <w:widowControl/>
        <w:numPr>
          <w:ilvl w:val="0"/>
          <w:numId w:val="6"/>
        </w:numPr>
        <w:tabs>
          <w:tab w:val="clear" w:pos="90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/>
          <w:bCs/>
          <w:sz w:val="19"/>
          <w:szCs w:val="19"/>
          <w:lang w:eastAsia="pl-PL"/>
        </w:rPr>
      </w:pPr>
      <w:r w:rsidRPr="00ED5C2B">
        <w:rPr>
          <w:rFonts w:ascii="Tahoma" w:hAnsi="Tahoma" w:cs="Tahoma"/>
          <w:sz w:val="20"/>
          <w:szCs w:val="20"/>
        </w:rPr>
        <w:t xml:space="preserve">Zapotrzebowanie na oprogramowanie zostało </w:t>
      </w:r>
      <w:r w:rsidRPr="00ED5C2B">
        <w:rPr>
          <w:rFonts w:ascii="Tahoma" w:hAnsi="Tahoma" w:cs="Tahoma"/>
          <w:snapToGrid w:val="0"/>
          <w:sz w:val="20"/>
          <w:szCs w:val="20"/>
        </w:rPr>
        <w:t>opisane w pkt III. OPZ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dla części </w:t>
      </w:r>
      <w:r w:rsidR="00295E71">
        <w:rPr>
          <w:rFonts w:ascii="Tahoma" w:hAnsi="Tahoma" w:cs="Tahoma"/>
          <w:sz w:val="20"/>
          <w:szCs w:val="20"/>
        </w:rPr>
        <w:t>2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- Warunki szczegółowe.</w:t>
      </w:r>
    </w:p>
    <w:p w:rsidR="000A31D5" w:rsidRPr="00ED5C2B" w:rsidRDefault="000A31D5" w:rsidP="000A31D5">
      <w:pPr>
        <w:jc w:val="both"/>
        <w:rPr>
          <w:rFonts w:ascii="Tahoma" w:hAnsi="Tahoma" w:cs="Tahoma"/>
          <w:b/>
          <w:sz w:val="20"/>
          <w:szCs w:val="20"/>
        </w:rPr>
      </w:pPr>
    </w:p>
    <w:p w:rsidR="000A31D5" w:rsidRPr="00ED5C2B" w:rsidRDefault="000A31D5" w:rsidP="000A31D5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II. Warunki realizacji umowy</w:t>
      </w:r>
      <w:r w:rsidRPr="00ED5C2B">
        <w:rPr>
          <w:rFonts w:ascii="Tahoma" w:hAnsi="Tahoma" w:cs="Tahoma"/>
          <w:sz w:val="20"/>
          <w:szCs w:val="20"/>
        </w:rPr>
        <w:t xml:space="preserve"> – Wymagania ogólne.</w:t>
      </w:r>
    </w:p>
    <w:p w:rsidR="000A31D5" w:rsidRPr="00ED5C2B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co najmniej na 1 dzień przed planowaną dostawą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poinformuje Opiekuna ze strony Zamawiającego o terminie dostawy oprogramowania. 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Dostawa/y oprogramowania realizowana/e będzie/będą do siedziby Urzędu Pracy m.st. Warszawy przy ul. Grochowskiej 171B w Warszawie. Oprogramowanie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 xml:space="preserve">, gdzie producent przewiduje jedynie jego postać elektroniczną, </w:t>
      </w:r>
      <w:r w:rsidRPr="006F75A4">
        <w:rPr>
          <w:rFonts w:ascii="Tahoma" w:hAnsi="Tahoma" w:cs="Tahoma"/>
          <w:sz w:val="20"/>
          <w:szCs w:val="20"/>
        </w:rPr>
        <w:t xml:space="preserve">Wykonawca dostarczy w postaci elektronicznej lub spowoduje, aby 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>producent oprogramowania przesłał je do Opiekuna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ze strony Zamawiającego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 xml:space="preserve"> na wskazany adres poczty elektronicznej</w:t>
      </w:r>
      <w:r w:rsidR="003F2C5B">
        <w:rPr>
          <w:rFonts w:ascii="Tahoma" w:hAnsi="Tahoma" w:cs="Tahoma"/>
          <w:bCs/>
          <w:snapToGrid w:val="0"/>
          <w:sz w:val="20"/>
          <w:szCs w:val="20"/>
        </w:rPr>
        <w:t>,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 xml:space="preserve"> niezwłocznie po udzieleniu licencji na oprogramowanie lub po dokonaniu aktywacji przedłużenia wsparcia oprogramowania. 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Wykonawca zrealizuje przedmiot zamówienia w ramach wynagrodzenia określonego w umowie</w:t>
      </w:r>
      <w:r>
        <w:rPr>
          <w:rFonts w:ascii="Tahoma" w:hAnsi="Tahoma" w:cs="Tahoma"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6F75A4">
        <w:rPr>
          <w:rFonts w:ascii="Tahoma" w:hAnsi="Tahoma" w:cs="Tahoma"/>
          <w:sz w:val="20"/>
          <w:szCs w:val="20"/>
        </w:rPr>
        <w:t xml:space="preserve">terminie określonym w umowie. Dostawy </w:t>
      </w:r>
      <w:r>
        <w:rPr>
          <w:rFonts w:ascii="Tahoma" w:hAnsi="Tahoma" w:cs="Tahoma"/>
          <w:sz w:val="20"/>
          <w:szCs w:val="20"/>
        </w:rPr>
        <w:t xml:space="preserve">oprogramowania w postaci fizycznej </w:t>
      </w:r>
      <w:r w:rsidRPr="006F75A4">
        <w:rPr>
          <w:rFonts w:ascii="Tahoma" w:hAnsi="Tahoma" w:cs="Tahoma"/>
          <w:sz w:val="20"/>
          <w:szCs w:val="20"/>
        </w:rPr>
        <w:t>realizowane będą w dni robocze, w</w:t>
      </w:r>
      <w:r>
        <w:rPr>
          <w:rFonts w:ascii="Tahoma" w:hAnsi="Tahoma" w:cs="Tahoma"/>
          <w:sz w:val="20"/>
          <w:szCs w:val="20"/>
        </w:rPr>
        <w:t> </w:t>
      </w:r>
      <w:r w:rsidRPr="006F75A4">
        <w:rPr>
          <w:rFonts w:ascii="Tahoma" w:hAnsi="Tahoma" w:cs="Tahoma"/>
          <w:sz w:val="20"/>
          <w:szCs w:val="20"/>
        </w:rPr>
        <w:t>godzinach 8:00 – 15:45.</w:t>
      </w:r>
      <w:r w:rsidRPr="006F75A4">
        <w:rPr>
          <w:rFonts w:ascii="Tahoma" w:hAnsi="Tahoma" w:cs="Tahoma"/>
          <w:sz w:val="20"/>
          <w:szCs w:val="20"/>
        </w:rPr>
        <w:tab/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napToGrid w:val="0"/>
          <w:sz w:val="20"/>
          <w:szCs w:val="20"/>
        </w:rPr>
        <w:t xml:space="preserve">Wykonawca dostarczy </w:t>
      </w:r>
      <w:r w:rsidRPr="006F75A4">
        <w:rPr>
          <w:rFonts w:ascii="Tahoma" w:hAnsi="Tahoma" w:cs="Tahoma"/>
          <w:sz w:val="20"/>
          <w:szCs w:val="20"/>
        </w:rPr>
        <w:t xml:space="preserve">oprogramowanie </w:t>
      </w:r>
      <w:r w:rsidRPr="006F75A4">
        <w:rPr>
          <w:rFonts w:ascii="Tahoma" w:hAnsi="Tahoma" w:cs="Tahoma"/>
          <w:snapToGrid w:val="0"/>
          <w:sz w:val="20"/>
          <w:szCs w:val="20"/>
        </w:rPr>
        <w:t>spełniające wszystkie wymagania dotyczące bezpieczeństwa, określone w obowiązującym w Polsce prawie.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 xml:space="preserve">Zaoferowane oprogramowanie musi być ogólnodostępne na rynku oraz musi być w najnowszej wersji dostępnej na rynku na dzień składania ofert. 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Oprogramowanie musi pochodzić z autoryzowanego kanału sprzedaży producenta i musi być dostarczone w</w:t>
      </w:r>
      <w:r w:rsidR="0029707C">
        <w:rPr>
          <w:rFonts w:ascii="Tahoma" w:hAnsi="Tahoma" w:cs="Tahoma"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formie licencji na warunkach producenta. Przedłużenie wsparcia na</w:t>
      </w:r>
      <w:r>
        <w:rPr>
          <w:rFonts w:ascii="Tahoma" w:hAnsi="Tahoma" w:cs="Tahoma"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oprogramowanie musi pochodzić z</w:t>
      </w:r>
      <w:r>
        <w:rPr>
          <w:rFonts w:ascii="Tahoma" w:hAnsi="Tahoma" w:cs="Tahoma"/>
          <w:sz w:val="20"/>
          <w:szCs w:val="20"/>
        </w:rPr>
        <w:t> </w:t>
      </w:r>
      <w:r w:rsidRPr="006F75A4">
        <w:rPr>
          <w:rFonts w:ascii="Tahoma" w:hAnsi="Tahoma" w:cs="Tahoma"/>
          <w:sz w:val="20"/>
          <w:szCs w:val="20"/>
        </w:rPr>
        <w:t>autoryzowanego kanału sprzedaży producenta i musi być dostarczone na warunkach producenta oprogramowania.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Zamawiający wymaga dostarczenia oprogramowania przeznaczonego do użytkowania przez podmioty komercyjne lub instytucje rządowe i samorządowe, ponieważ Zamawiający jest jednostką samorządową. Oprogramowanie należy dostarczyć w formie przewidzianej przez producenta oprogramowania (np. nośniki magnetyczne, licencje papierowe, klucze dostępu</w:t>
      </w:r>
      <w:r>
        <w:rPr>
          <w:rFonts w:ascii="Tahoma" w:hAnsi="Tahoma" w:cs="Tahoma"/>
          <w:sz w:val="20"/>
          <w:szCs w:val="20"/>
        </w:rPr>
        <w:t>, linki umożliwiające pobranie oprogramowania</w:t>
      </w:r>
      <w:r w:rsidRPr="006F75A4">
        <w:rPr>
          <w:rFonts w:ascii="Tahoma" w:hAnsi="Tahoma" w:cs="Tahoma"/>
          <w:sz w:val="20"/>
          <w:szCs w:val="20"/>
        </w:rPr>
        <w:t>).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 xml:space="preserve">Okres użytkowania oprogramowania wyszczególnionego w pkt III. OPZ dla części </w:t>
      </w:r>
      <w:r w:rsidR="00295E71">
        <w:rPr>
          <w:rFonts w:ascii="Tahoma" w:hAnsi="Tahoma" w:cs="Tahoma"/>
          <w:sz w:val="20"/>
          <w:szCs w:val="20"/>
        </w:rPr>
        <w:t>2</w:t>
      </w:r>
      <w:r w:rsidRPr="006F75A4">
        <w:rPr>
          <w:rFonts w:ascii="Tahoma" w:hAnsi="Tahoma" w:cs="Tahoma"/>
          <w:sz w:val="20"/>
          <w:szCs w:val="20"/>
        </w:rPr>
        <w:t xml:space="preserve"> musi być bezterminowy, z wyłączeniem przypadków opisanych jako terminowe. Zaoferowane oprogramowanie musi być licencjonowane w formie licencji grupowych lub licencji pudełkowych, o ile nie określono innego typu licencjonowania w pkt III. OPZ dla części </w:t>
      </w:r>
      <w:r w:rsidR="00295E71">
        <w:rPr>
          <w:rFonts w:ascii="Tahoma" w:hAnsi="Tahoma" w:cs="Tahoma"/>
          <w:sz w:val="20"/>
          <w:szCs w:val="20"/>
        </w:rPr>
        <w:t>2</w:t>
      </w:r>
      <w:r w:rsidRPr="006F75A4">
        <w:rPr>
          <w:rFonts w:ascii="Tahoma" w:hAnsi="Tahoma" w:cs="Tahoma"/>
          <w:sz w:val="20"/>
          <w:szCs w:val="20"/>
        </w:rPr>
        <w:t xml:space="preserve">. </w:t>
      </w:r>
    </w:p>
    <w:p w:rsidR="000A31D5" w:rsidRPr="00ED5C2B" w:rsidRDefault="000A31D5" w:rsidP="000A31D5">
      <w:pPr>
        <w:ind w:left="539" w:hanging="539"/>
        <w:jc w:val="both"/>
        <w:rPr>
          <w:rFonts w:ascii="Tahoma" w:hAnsi="Tahoma" w:cs="Tahoma"/>
          <w:sz w:val="20"/>
          <w:szCs w:val="20"/>
        </w:rPr>
      </w:pPr>
    </w:p>
    <w:p w:rsidR="000A31D5" w:rsidRPr="00ED5C2B" w:rsidRDefault="000A31D5" w:rsidP="000A31D5">
      <w:pPr>
        <w:widowControl/>
        <w:numPr>
          <w:ilvl w:val="1"/>
          <w:numId w:val="6"/>
        </w:numPr>
        <w:tabs>
          <w:tab w:val="clear" w:pos="1800"/>
          <w:tab w:val="num" w:pos="567"/>
        </w:tabs>
        <w:suppressAutoHyphens w:val="0"/>
        <w:ind w:hanging="1800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Warunki szczegółowe:</w:t>
      </w:r>
    </w:p>
    <w:p w:rsidR="000A31D5" w:rsidRDefault="000A31D5" w:rsidP="000A31D5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0A31D5" w:rsidRPr="00ED5C2B" w:rsidTr="0095184B">
        <w:trPr>
          <w:trHeight w:val="402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8D3729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Oprogramowanie antywirusowe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E633C4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0A31D5"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Wymagania: </w:t>
            </w:r>
          </w:p>
          <w:p w:rsidR="000A31D5" w:rsidRPr="00ED5C2B" w:rsidRDefault="000A31D5" w:rsidP="0095184B">
            <w:pPr>
              <w:ind w:left="17" w:hanging="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aktualizacja oprogramowania antywirusowego ESET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Endpoint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Antivirus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Suite dla 3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sz w:val="20"/>
                <w:szCs w:val="20"/>
              </w:rPr>
              <w:t>0 stacji roboczych i serwerów</w:t>
            </w:r>
            <w:r w:rsidR="00295E71">
              <w:rPr>
                <w:rFonts w:ascii="Tahoma" w:hAnsi="Tahoma" w:cs="Tahoma"/>
                <w:sz w:val="20"/>
                <w:szCs w:val="20"/>
              </w:rPr>
              <w:t xml:space="preserve"> wraz ze zwiększeniem liczby chronionych stacji roboczych i serwerów do 330 łącznie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="00295E71">
              <w:rPr>
                <w:rFonts w:ascii="Tahoma" w:hAnsi="Tahoma" w:cs="Tahoma"/>
                <w:sz w:val="20"/>
                <w:szCs w:val="20"/>
              </w:rPr>
              <w:t> </w:t>
            </w:r>
            <w:r w:rsidRPr="00ED5C2B">
              <w:rPr>
                <w:rFonts w:ascii="Tahoma" w:hAnsi="Tahoma" w:cs="Tahoma"/>
                <w:sz w:val="20"/>
                <w:szCs w:val="20"/>
              </w:rPr>
              <w:t>tym li</w:t>
            </w:r>
            <w:r>
              <w:rPr>
                <w:rFonts w:ascii="Tahoma" w:hAnsi="Tahoma" w:cs="Tahoma"/>
                <w:sz w:val="20"/>
                <w:szCs w:val="20"/>
              </w:rPr>
              <w:t xml:space="preserve">czba </w:t>
            </w:r>
            <w:r w:rsidR="00295E71">
              <w:rPr>
                <w:rFonts w:ascii="Tahoma" w:hAnsi="Tahoma" w:cs="Tahoma"/>
                <w:sz w:val="20"/>
                <w:szCs w:val="20"/>
              </w:rPr>
              <w:t>serwerów nie przekroczy 30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5317B" w:rsidRPr="007970C1" w:rsidRDefault="0045317B" w:rsidP="0045317B">
            <w:pPr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2B507A">
              <w:rPr>
                <w:rFonts w:ascii="Tahoma" w:hAnsi="Tahoma" w:cs="Tahoma"/>
                <w:sz w:val="20"/>
                <w:szCs w:val="20"/>
              </w:rPr>
              <w:t>ub oprogramowanie równoważne 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podobnej</w:t>
            </w:r>
            <w:r w:rsidRPr="002B507A">
              <w:rPr>
                <w:rFonts w:ascii="Tahoma" w:hAnsi="Tahoma" w:cs="Tahoma"/>
                <w:sz w:val="20"/>
                <w:szCs w:val="20"/>
              </w:rPr>
              <w:t xml:space="preserve"> funkcjonalności umożliwiającej w szczególności</w:t>
            </w:r>
            <w:r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: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Liczba stacji roboczych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laptopów opartych na systemie Windows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i urządzeń mobilnych opartych na systemie Android ob</w:t>
            </w:r>
            <w:r w:rsidR="00295E71">
              <w:rPr>
                <w:rFonts w:ascii="Tahoma" w:hAnsi="Tahoma" w:cs="Tahoma"/>
                <w:sz w:val="20"/>
                <w:szCs w:val="20"/>
              </w:rPr>
              <w:t>jętych licencją: co najmniej 300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Liczba serwerów plików o</w:t>
            </w:r>
            <w:r w:rsidR="00295E71">
              <w:rPr>
                <w:rFonts w:ascii="Tahoma" w:hAnsi="Tahoma" w:cs="Tahoma"/>
                <w:sz w:val="20"/>
                <w:szCs w:val="20"/>
              </w:rPr>
              <w:t>bjętych licencją: co najmniej 30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szt. (ochrona w zakresie plików udostępnianych klientom oraz lokalna ochrona systemu </w:t>
            </w:r>
            <w:r>
              <w:rPr>
                <w:rFonts w:ascii="Tahoma" w:hAnsi="Tahoma" w:cs="Tahoma"/>
                <w:sz w:val="20"/>
                <w:szCs w:val="20"/>
              </w:rPr>
              <w:t>operacyjnego serwera).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 ramach licencji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możliwość instalacji minimum </w:t>
            </w:r>
            <w:r>
              <w:rPr>
                <w:rFonts w:ascii="Tahoma" w:hAnsi="Tahoma" w:cs="Tahoma"/>
                <w:sz w:val="20"/>
                <w:szCs w:val="20"/>
              </w:rPr>
              <w:t>1 serwera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do zarządzania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minimum 2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proxy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do minimalizowania ruchu sieciowego systemu antywirusowego pomiędzy lokalizacjami lub innego rozwiązania do zarządzania systemem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zapewniając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minimalizacj</w:t>
            </w:r>
            <w:r w:rsidR="003F2C5B">
              <w:rPr>
                <w:rFonts w:ascii="Tahoma" w:hAnsi="Tahoma" w:cs="Tahoma"/>
                <w:sz w:val="20"/>
                <w:szCs w:val="20"/>
              </w:rPr>
              <w:t>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ruchu sieciowego pomiędzy trzema lokalizacjami do serwera zarządzania.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Pełna ochrona przed oprogramowaniem typu: wirusy komputerowe,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tr</w:t>
            </w:r>
            <w:r>
              <w:rPr>
                <w:rFonts w:ascii="Tahoma" w:hAnsi="Tahoma" w:cs="Tahoma"/>
                <w:sz w:val="20"/>
                <w:szCs w:val="20"/>
              </w:rPr>
              <w:t>ojany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robaki i inne zagrożenia.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Wykrywanie i usuwanie niebezpiecznego oprogramowania typu: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adware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, spyware, dialer,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phishing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, narzęd</w:t>
            </w:r>
            <w:r>
              <w:rPr>
                <w:rFonts w:ascii="Tahoma" w:hAnsi="Tahoma" w:cs="Tahoma"/>
                <w:sz w:val="20"/>
                <w:szCs w:val="20"/>
              </w:rPr>
              <w:t xml:space="preserve">zia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hakerskie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backdor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rootkit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narzędzia do szyfrowania dysków,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Wykrywanie zagrożeń w czasie rzeczywistym, skanowanie plików na żądanie użytkowni</w:t>
            </w:r>
            <w:r>
              <w:rPr>
                <w:rFonts w:ascii="Tahoma" w:hAnsi="Tahoma" w:cs="Tahoma"/>
                <w:sz w:val="20"/>
                <w:szCs w:val="20"/>
              </w:rPr>
              <w:t>ka, skanowanie zgodnie z harmonogramem lub w trakcie nieaktywności użytkownika.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Ochrona plików, poczty przychodzącej i wychodzącej na poziomie stacji roboczej obsługiwanej przy pomocy programów po</w:t>
            </w:r>
            <w:r>
              <w:rPr>
                <w:rFonts w:ascii="Tahoma" w:hAnsi="Tahoma" w:cs="Tahoma"/>
                <w:sz w:val="20"/>
                <w:szCs w:val="20"/>
              </w:rPr>
              <w:t>cztowych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 najmniej MS Outlook</w:t>
            </w:r>
            <w:r w:rsidRPr="00ED5C2B">
              <w:rPr>
                <w:rFonts w:ascii="Tahoma" w:hAnsi="Tahoma" w:cs="Tahoma"/>
                <w:sz w:val="20"/>
                <w:szCs w:val="20"/>
              </w:rPr>
              <w:t>. Ochrona realizowana za pomocą automatycznej integracji odpowiednich modułów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programem pocztowym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bez konieczności dodatkowej konfiguracji, wraz z funkcją automatycznej zmiany rozszerzeń potencjal</w:t>
            </w:r>
            <w:r>
              <w:rPr>
                <w:rFonts w:ascii="Tahoma" w:hAnsi="Tahoma" w:cs="Tahoma"/>
                <w:sz w:val="20"/>
                <w:szCs w:val="20"/>
              </w:rPr>
              <w:t>nie niebezpiecznych załączników.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Ochrona w czasie rzeczywistym ruchu HTTP, HTTPS na poziomie stacji roboczej. Zainfekowany ruch jest automatycznie blokowany, a użytkownikowi wyświetlane jest stosowne powiadomienie. Ochrona realizowana za pomocą automatycznej integracji odpowiednich modułów z przeglądarką internetową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bez konieczności dodatkowej konfi</w:t>
            </w:r>
            <w:r>
              <w:rPr>
                <w:rFonts w:ascii="Tahoma" w:hAnsi="Tahoma" w:cs="Tahoma"/>
                <w:sz w:val="20"/>
                <w:szCs w:val="20"/>
              </w:rPr>
              <w:t xml:space="preserve">guracji </w:t>
            </w:r>
            <w:r w:rsidR="003F2C5B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raz z możliwością definiowania odpowiednich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Małe obciążenie systemu stacji roboczej prac</w:t>
            </w:r>
            <w:r>
              <w:rPr>
                <w:rFonts w:ascii="Tahoma" w:hAnsi="Tahoma" w:cs="Tahoma"/>
                <w:sz w:val="20"/>
                <w:szCs w:val="20"/>
              </w:rPr>
              <w:t>ą oprogramowania antywirusowego</w:t>
            </w:r>
            <w:r w:rsidR="0029707C">
              <w:rPr>
                <w:rFonts w:ascii="Tahoma" w:hAnsi="Tahoma" w:cs="Tahoma"/>
                <w:sz w:val="20"/>
                <w:szCs w:val="20"/>
              </w:rPr>
              <w:t xml:space="preserve"> minimum w zakresie zajętości pamięci RAM i wykorzystania procesora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blokowania co najmniej zewnętrz</w:t>
            </w:r>
            <w:r>
              <w:rPr>
                <w:rFonts w:ascii="Tahoma" w:hAnsi="Tahoma" w:cs="Tahoma"/>
                <w:sz w:val="20"/>
                <w:szCs w:val="20"/>
              </w:rPr>
              <w:t>nych nośników danych (pendrive).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ochrony czasu rzeczywistego i skanowania plików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zawierając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ustawienia: lista skanowanych napędów (wszystkie napędy lokalne, wszystkie napędy wymienne, wszystkie napędy sieciowe, itp.), sposób identyfikacji plików (wszystkie pliki, bazujący na rozszerzeniach, itp.), załączenie/wyłączenie skanowania archiwów, definicja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ze skanowania, załączenie lub wyłączenie skanowania heurystycznego wraz ze zdefiniowaniem głębokości skanowania heurystycznego, tryb pracy oprogramowania antywirusowego (skanowanie przy dostępie do pliku, skanowanie przy wykonaniu pliku, itp.).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ochrony poczty  przychodzącej i wychodzącej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zawierając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ustawienia: skanowanie załączników w zakresie załącz/wyłącz oraz określenie maksymalnego rozmiaru skanowanych archiwów, definicja poziomu skanowania heurystycznego w zakresie załącz/wyłącz oraz poziom skanowania heurystycznego, ochrona przed potencjalnie niebezpiecznymi załącznikami w zakresie usuwania ich z emaila lub/i zmiany rozszerzenia wraz z możliwością zdefiniowania rozszerzeń potencjal</w:t>
            </w:r>
            <w:r>
              <w:rPr>
                <w:rFonts w:ascii="Tahoma" w:hAnsi="Tahoma" w:cs="Tahoma"/>
                <w:sz w:val="20"/>
                <w:szCs w:val="20"/>
              </w:rPr>
              <w:t>nie niebezpiecznych załączników.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="007F66BE">
              <w:rPr>
                <w:rFonts w:ascii="Tahoma" w:hAnsi="Tahoma" w:cs="Tahoma"/>
                <w:sz w:val="20"/>
                <w:szCs w:val="20"/>
              </w:rPr>
              <w:t xml:space="preserve"> polis dla ochrony HTTP i </w:t>
            </w:r>
            <w:r w:rsidRPr="00ED5C2B">
              <w:rPr>
                <w:rFonts w:ascii="Tahoma" w:hAnsi="Tahoma" w:cs="Tahoma"/>
                <w:sz w:val="20"/>
                <w:szCs w:val="20"/>
              </w:rPr>
              <w:t>HTTPS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zawierając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ustawienia: definicja poziomu skanowania heurystycznego w zakresie załącz/wyłącz oraz poziom skanowania heurystycznego, załączenie/wyłączenie funkcji sprawdzających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czy adres nie jest zawarty w bazie danych potencjalnie niebezpiecznych stron, definicja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- listy adresów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IP i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URL, któr</w:t>
            </w:r>
            <w:r>
              <w:rPr>
                <w:rFonts w:ascii="Tahoma" w:hAnsi="Tahoma" w:cs="Tahoma"/>
                <w:sz w:val="20"/>
                <w:szCs w:val="20"/>
              </w:rPr>
              <w:t>e mają nie podlegać sprawdzaniu</w:t>
            </w:r>
            <w:r w:rsidR="00BF21FE">
              <w:rPr>
                <w:rFonts w:ascii="Tahoma" w:hAnsi="Tahoma" w:cs="Tahoma"/>
                <w:sz w:val="20"/>
                <w:szCs w:val="20"/>
              </w:rPr>
              <w:t xml:space="preserve">, definicja </w:t>
            </w:r>
            <w:proofErr w:type="spellStart"/>
            <w:r w:rsidR="00BF21FE"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 w:rsidR="00BF21FE">
              <w:rPr>
                <w:rFonts w:ascii="Tahoma" w:hAnsi="Tahoma" w:cs="Tahoma"/>
                <w:sz w:val="20"/>
                <w:szCs w:val="20"/>
              </w:rPr>
              <w:t xml:space="preserve"> – lista certyfikatów stron HTTPS zabronionych, dozwolonych, niepodlegających kontroli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C5B" w:rsidRPr="00ED5C2B">
              <w:rPr>
                <w:rFonts w:ascii="Tahoma" w:hAnsi="Tahoma" w:cs="Tahoma"/>
                <w:sz w:val="20"/>
                <w:szCs w:val="20"/>
              </w:rPr>
              <w:t>definiując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="003F2C5B"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załączenie/wyłączenie poszczególnych modułów oprogramowania (skanowanie antywirusowe, skanowanie pocz</w:t>
            </w:r>
            <w:r>
              <w:rPr>
                <w:rFonts w:ascii="Tahoma" w:hAnsi="Tahoma" w:cs="Tahoma"/>
                <w:sz w:val="20"/>
                <w:szCs w:val="20"/>
              </w:rPr>
              <w:t>ty email, skanowanie stron WWW).</w:t>
            </w:r>
          </w:p>
          <w:p w:rsidR="000A31D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Możliwość zablokowania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możliwości modyfikacji ustawień oprogramowania antywirusowego przez użytkownika </w:t>
            </w:r>
            <w:r>
              <w:rPr>
                <w:rFonts w:ascii="Tahoma" w:hAnsi="Tahoma" w:cs="Tahoma"/>
                <w:sz w:val="20"/>
                <w:szCs w:val="20"/>
              </w:rPr>
              <w:t>zalogowanego na stacji roboczej.</w:t>
            </w:r>
          </w:p>
          <w:p w:rsidR="000A31D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zdefiniowania hasła umożliwiającego odinstalowanie zainstalowanego na stacji roboczej oprogramowania antywirusowego i zabezpieczającego oprogramowanie przed samowolnym jego odinstalow</w:t>
            </w:r>
            <w:r>
              <w:rPr>
                <w:rFonts w:ascii="Tahoma" w:hAnsi="Tahoma" w:cs="Tahoma"/>
                <w:sz w:val="20"/>
                <w:szCs w:val="20"/>
              </w:rPr>
              <w:t>aniem przez użytkownika.</w:t>
            </w:r>
          </w:p>
          <w:p w:rsidR="00BF21FE" w:rsidRPr="00ED5C2B" w:rsidRDefault="00BF21FE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grup dynamicznych, do których </w:t>
            </w:r>
            <w:r w:rsidRPr="00ED5C2B">
              <w:rPr>
                <w:rFonts w:ascii="Tahoma" w:hAnsi="Tahoma" w:cs="Tahoma"/>
                <w:sz w:val="20"/>
                <w:szCs w:val="20"/>
              </w:rPr>
              <w:t>konsol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centralnego zarządzania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dodaje poszczególne stacje robocze na podstawie ich specyficznych cech i przypisywanie im odpowiednich polis.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Cykliczna aktualizacja oprogramowania antywirusowego z możliwością pobierania aktualizacji z serwerów producen</w:t>
            </w:r>
            <w:r>
              <w:rPr>
                <w:rFonts w:ascii="Tahoma" w:hAnsi="Tahoma" w:cs="Tahoma"/>
                <w:sz w:val="20"/>
                <w:szCs w:val="20"/>
              </w:rPr>
              <w:t>ta oprogramowania oraz z serwerów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do centralnego zarządzania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 wewnętrznych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proxy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, aktualizacja inicjowana według harmonogramu oraz na żądanie. Producent oprogramowania musi publikować aktualizacje baz sygnatur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 najmniej sześć razy dziennie.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uzyskania szczegółowej informacji o stanie zabezpieczenia poszczególnych stacji roboczych w zakresie terminu ostatniej aktualizacji baz sygnatur, ostatniego pełnego skanowania, ostatniej aktualizacji danych wraz z automatycznym wyróżnianiem na konsoli stacji roboczych, które od pewnego czasu nie komunikowały się z serwerem centralnego zarządzania lub mają ni</w:t>
            </w:r>
            <w:r>
              <w:rPr>
                <w:rFonts w:ascii="Tahoma" w:hAnsi="Tahoma" w:cs="Tahoma"/>
                <w:sz w:val="20"/>
                <w:szCs w:val="20"/>
              </w:rPr>
              <w:t>eaktualne bazy sygnatur.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ręcznego inicjowania zadań aktualizacji, skanowania plików dla </w:t>
            </w:r>
            <w:r>
              <w:rPr>
                <w:rFonts w:ascii="Tahoma" w:hAnsi="Tahoma" w:cs="Tahoma"/>
                <w:sz w:val="20"/>
                <w:szCs w:val="20"/>
              </w:rPr>
              <w:t>poszczególnych stacji roboczych.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centralnego zarządzania ręcznego inicjowania zadań aktualizacji kluczy licencyjnych, instalacji pakietu oprogramowania antywirusowego, usunięcia zainstalowaneg</w:t>
            </w:r>
            <w:r>
              <w:rPr>
                <w:rFonts w:ascii="Tahoma" w:hAnsi="Tahoma" w:cs="Tahoma"/>
                <w:sz w:val="20"/>
                <w:szCs w:val="20"/>
              </w:rPr>
              <w:t>o oprogramowania antywirusowego.</w:t>
            </w:r>
          </w:p>
          <w:p w:rsidR="00291672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Cykliczne generowanie raportów i dostarczanie ich na zdefiniowane adresy email administratorów oraz generowanie raportów na żądanie administratora przez serwer do centralnego zarządzania o: </w:t>
            </w:r>
          </w:p>
          <w:p w:rsidR="00291672" w:rsidRPr="00291672" w:rsidRDefault="000A31D5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wykrytym oprogramowaniu szkodliwym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291672">
              <w:rPr>
                <w:rFonts w:ascii="Tahoma" w:hAnsi="Tahoma" w:cs="Tahoma"/>
                <w:sz w:val="20"/>
                <w:szCs w:val="20"/>
              </w:rPr>
              <w:t xml:space="preserve"> wraz ze wskazaniem nazw stacji roboczych, gdzie oprogramowanie zostało wykryte,</w:t>
            </w:r>
          </w:p>
          <w:p w:rsidR="00291672" w:rsidRDefault="000A31D5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wersjach baz sygnatur i wersjach oprogramowania antywirusowego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ze wskazaniem nazw stacji roboczych, na których występują określone wersje oprogramowania, </w:t>
            </w:r>
          </w:p>
          <w:p w:rsidR="000A31D5" w:rsidRDefault="000A31D5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zain</w:t>
            </w:r>
            <w:r w:rsidR="00291672">
              <w:rPr>
                <w:rFonts w:ascii="Tahoma" w:hAnsi="Tahoma" w:cs="Tahoma"/>
                <w:sz w:val="20"/>
                <w:szCs w:val="20"/>
              </w:rPr>
              <w:t>stalowanym innym oprogramowaniu,</w:t>
            </w:r>
          </w:p>
          <w:p w:rsidR="00291672" w:rsidRDefault="00291672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wykaz zadań realizowanych przez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agenty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oprogramowania zainstalowane stacje robocze w określonym czasie,</w:t>
            </w:r>
          </w:p>
          <w:p w:rsidR="00291672" w:rsidRDefault="00E633C4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zadaniach</w:t>
            </w:r>
            <w:r w:rsidR="00291672">
              <w:rPr>
                <w:rFonts w:ascii="Tahoma" w:hAnsi="Tahoma" w:cs="Tahoma"/>
                <w:sz w:val="20"/>
                <w:szCs w:val="20"/>
              </w:rPr>
              <w:t xml:space="preserve"> realizowanych przez system centralnego zarządzania </w:t>
            </w:r>
            <w:r>
              <w:rPr>
                <w:rFonts w:ascii="Tahoma" w:hAnsi="Tahoma" w:cs="Tahoma"/>
                <w:sz w:val="20"/>
                <w:szCs w:val="20"/>
              </w:rPr>
              <w:t>w określonym czasie,</w:t>
            </w:r>
          </w:p>
          <w:p w:rsidR="00E633C4" w:rsidRDefault="00E633C4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wynikach skanowania realizowanych w określonym czasie,</w:t>
            </w:r>
          </w:p>
          <w:p w:rsidR="00E633C4" w:rsidRDefault="00E633C4" w:rsidP="00E633C4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plikach przesłanych do chmury w celu ich dokładnej analizy w określonym czasie,</w:t>
            </w:r>
          </w:p>
          <w:p w:rsidR="00E633C4" w:rsidRDefault="00E633C4" w:rsidP="00E633C4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stacjach roboczych na których oprogramowanie wykryło zagrożenie w określonym czasie,</w:t>
            </w:r>
          </w:p>
          <w:p w:rsidR="00E633C4" w:rsidRDefault="00E633C4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obiektach poddanych kwarantannie,</w:t>
            </w:r>
          </w:p>
          <w:p w:rsidR="00E633C4" w:rsidRDefault="00E633C4" w:rsidP="00291672">
            <w:pPr>
              <w:widowControl/>
              <w:numPr>
                <w:ilvl w:val="7"/>
                <w:numId w:val="2"/>
              </w:numPr>
              <w:tabs>
                <w:tab w:val="clear" w:pos="5760"/>
              </w:tabs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zdarzeniach zarejestrowanych w dzienniku audytu.</w:t>
            </w:r>
          </w:p>
          <w:p w:rsidR="000A31D5" w:rsidRPr="00DF6F8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Oprogramowanie wyposażone w standardowy moduł wykrywania zagrożeń za pomocą sygnatur dostarczanych przez producenta oprogramowania oraz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co najmniej jeden moduł heurystyczny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umożliwiający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wykrywanie nieznanych zagrożeń oraz w technikę uczenia maszynowego i obserwacji uruchomionych w systemie procesów.</w:t>
            </w:r>
          </w:p>
          <w:p w:rsidR="000A31D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Moduł skanujący musi pochodzić od innego producenta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porównaniu do </w:t>
            </w:r>
            <w:r w:rsidR="007F66BE">
              <w:rPr>
                <w:rFonts w:ascii="Tahoma" w:hAnsi="Tahoma" w:cs="Tahoma"/>
                <w:sz w:val="20"/>
                <w:szCs w:val="20"/>
              </w:rPr>
              <w:t xml:space="preserve">modułu skanującego wykorzystywanego przez Zamawiającego do kontroli poczty elektronicznej opartym na rozwiązaniu </w:t>
            </w:r>
            <w:proofErr w:type="spellStart"/>
            <w:r w:rsidR="007F66BE">
              <w:rPr>
                <w:rFonts w:ascii="Tahoma" w:hAnsi="Tahoma" w:cs="Tahoma"/>
                <w:sz w:val="20"/>
                <w:szCs w:val="20"/>
              </w:rPr>
              <w:t>FortiMail</w:t>
            </w:r>
            <w:proofErr w:type="spellEnd"/>
            <w:r w:rsidR="007F66B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E633C4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W przypadku oprogramowania równoważnego, należy zapewnić </w:t>
            </w:r>
            <w:r>
              <w:rPr>
                <w:rFonts w:ascii="Tahoma" w:hAnsi="Tahoma" w:cs="Tahoma"/>
                <w:sz w:val="20"/>
                <w:szCs w:val="20"/>
              </w:rPr>
              <w:t xml:space="preserve">szkolenie z zakresu instalacji, wdrożenia i obsługi konsoli do centralnego zarządzania oprogramowaniem dla minimum </w:t>
            </w:r>
            <w:r w:rsidR="007F66B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informatyków oraz należy zapewnić pomoc w sprawnym wdrożeniu oprogramowania </w:t>
            </w:r>
            <w:r w:rsidR="00E633C4">
              <w:rPr>
                <w:rFonts w:ascii="Tahoma" w:hAnsi="Tahoma" w:cs="Tahoma"/>
                <w:sz w:val="20"/>
                <w:szCs w:val="20"/>
              </w:rPr>
              <w:t xml:space="preserve">przed dniem </w:t>
            </w:r>
            <w:r>
              <w:rPr>
                <w:rFonts w:ascii="Tahoma" w:hAnsi="Tahoma" w:cs="Tahoma"/>
                <w:sz w:val="20"/>
                <w:szCs w:val="20"/>
              </w:rPr>
              <w:t>01.01.201</w:t>
            </w:r>
            <w:r w:rsidR="00E633C4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633C4">
              <w:rPr>
                <w:rFonts w:ascii="Tahoma" w:hAnsi="Tahoma" w:cs="Tahoma"/>
                <w:sz w:val="20"/>
                <w:szCs w:val="20"/>
              </w:rPr>
              <w:t>W tym celu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należy zapewnić odpowiednio dłuższy okres aktualizacji oprogramowania równoważnego tak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aby było możliwe płynne zastąpienie aktualnie eksploatowanego oprogramowania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oprogramowaniem równoważnym w terminie do 01.01.201</w:t>
            </w:r>
            <w:r w:rsidR="007F66B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3F2C5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przesunięcia daty końca ważności o której mowa w </w:t>
            </w:r>
            <w:r w:rsidR="00E633C4">
              <w:rPr>
                <w:rFonts w:ascii="Tahoma" w:hAnsi="Tahoma" w:cs="Tahoma"/>
                <w:sz w:val="20"/>
                <w:szCs w:val="20"/>
              </w:rPr>
              <w:t>Lp.</w:t>
            </w:r>
            <w:r>
              <w:rPr>
                <w:rFonts w:ascii="Tahoma" w:hAnsi="Tahoma" w:cs="Tahoma"/>
                <w:sz w:val="20"/>
                <w:szCs w:val="20"/>
              </w:rPr>
              <w:t xml:space="preserve"> 4.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Obsługiwane systemy operacyjne: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3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Dla stacji roboczych co najmniej Windows 7 w wersji 32 i 64 bitowej, Windows 10 w wersji 32 i 64 bitowej.</w:t>
            </w:r>
          </w:p>
          <w:p w:rsidR="000A31D5" w:rsidRPr="00ED5C2B" w:rsidRDefault="000A31D5" w:rsidP="007F66BE">
            <w:pPr>
              <w:widowControl/>
              <w:numPr>
                <w:ilvl w:val="6"/>
                <w:numId w:val="3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Dla serwerów plików co najmniej Windows 2012 R2</w:t>
            </w:r>
            <w:r>
              <w:rPr>
                <w:rFonts w:ascii="Tahoma" w:hAnsi="Tahoma" w:cs="Tahoma"/>
                <w:sz w:val="20"/>
                <w:szCs w:val="20"/>
              </w:rPr>
              <w:t>, 2016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, Linux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RedHat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CentOs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Certyfikaty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 pozostałe wymagania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C349E" w:rsidRPr="00DC349E" w:rsidRDefault="00DC349E" w:rsidP="00DC349E">
            <w:pPr>
              <w:widowControl/>
              <w:numPr>
                <w:ilvl w:val="3"/>
                <w:numId w:val="12"/>
              </w:numPr>
              <w:tabs>
                <w:tab w:val="clear" w:pos="288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9E">
              <w:rPr>
                <w:rFonts w:ascii="Tahoma" w:hAnsi="Tahoma" w:cs="Tahoma"/>
                <w:sz w:val="20"/>
                <w:szCs w:val="20"/>
              </w:rPr>
              <w:t xml:space="preserve">Rodzina zaoferowanego oprogramowania równoważnego musi wykazać się, iż wszystkie testy </w:t>
            </w:r>
            <w:r w:rsidRPr="00DC349E">
              <w:rPr>
                <w:rFonts w:ascii="Tahoma" w:hAnsi="Tahoma" w:cs="Tahoma"/>
                <w:sz w:val="20"/>
                <w:szCs w:val="20"/>
              </w:rPr>
              <w:lastRenderedPageBreak/>
              <w:t>organizacji VB100 zostały zakończone przyznaniem znaku VB100 w ciągu ostatnich 2 lat, licząc od daty złożenia oferty. Testy muszą być przeprowadzone na rodzinie zaoferowanego oprogramowania.</w:t>
            </w:r>
          </w:p>
          <w:p w:rsidR="00DC349E" w:rsidRPr="00ED5C2B" w:rsidRDefault="00DC349E" w:rsidP="00DC349E">
            <w:pPr>
              <w:widowControl/>
              <w:numPr>
                <w:ilvl w:val="3"/>
                <w:numId w:val="12"/>
              </w:numPr>
              <w:tabs>
                <w:tab w:val="clear" w:pos="288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9E">
              <w:rPr>
                <w:rFonts w:ascii="Tahoma" w:hAnsi="Tahoma" w:cs="Tahoma"/>
                <w:sz w:val="20"/>
                <w:szCs w:val="20"/>
              </w:rPr>
              <w:t xml:space="preserve">Producent oprogramowania antywirusowego musi być wymieniony na aktualnym raporcie „Magic </w:t>
            </w:r>
            <w:proofErr w:type="spellStart"/>
            <w:r w:rsidRPr="00DC349E">
              <w:rPr>
                <w:rFonts w:ascii="Tahoma" w:hAnsi="Tahoma" w:cs="Tahoma"/>
                <w:sz w:val="20"/>
                <w:szCs w:val="20"/>
              </w:rPr>
              <w:t>Quadrant</w:t>
            </w:r>
            <w:proofErr w:type="spellEnd"/>
            <w:r w:rsidRPr="00DC349E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Pr="00DC349E">
              <w:rPr>
                <w:rFonts w:ascii="Tahoma" w:hAnsi="Tahoma" w:cs="Tahoma"/>
                <w:sz w:val="20"/>
                <w:szCs w:val="20"/>
              </w:rPr>
              <w:t>Endpoint</w:t>
            </w:r>
            <w:proofErr w:type="spellEnd"/>
            <w:r w:rsidRPr="00DC34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349E">
              <w:rPr>
                <w:rFonts w:ascii="Tahoma" w:hAnsi="Tahoma" w:cs="Tahoma"/>
                <w:sz w:val="20"/>
                <w:szCs w:val="20"/>
              </w:rPr>
              <w:t>Protection</w:t>
            </w:r>
            <w:proofErr w:type="spellEnd"/>
            <w:r w:rsidRPr="00DC34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349E">
              <w:rPr>
                <w:rFonts w:ascii="Tahoma" w:hAnsi="Tahoma" w:cs="Tahoma"/>
                <w:sz w:val="20"/>
                <w:szCs w:val="20"/>
              </w:rPr>
              <w:t>Platforms</w:t>
            </w:r>
            <w:proofErr w:type="spellEnd"/>
            <w:r w:rsidRPr="00DC349E">
              <w:rPr>
                <w:rFonts w:ascii="Tahoma" w:hAnsi="Tahoma" w:cs="Tahoma"/>
                <w:sz w:val="20"/>
                <w:szCs w:val="20"/>
              </w:rPr>
              <w:t>” firmy Gartner.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7F66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Okres aktualizacji oprogramowania: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jeden rok, koniec okresu aktualizacji oprogramowania nie może być wcześniejszy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jak od dnia 31.12.201</w:t>
            </w:r>
            <w:r w:rsidR="007F66BE">
              <w:rPr>
                <w:rFonts w:ascii="Tahoma" w:hAnsi="Tahoma" w:cs="Tahoma"/>
                <w:sz w:val="20"/>
                <w:szCs w:val="20"/>
              </w:rPr>
              <w:t>9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w przypadku instalacji oprogramowani</w:t>
            </w:r>
            <w:r>
              <w:rPr>
                <w:rFonts w:ascii="Tahoma" w:hAnsi="Tahoma" w:cs="Tahoma"/>
                <w:sz w:val="20"/>
                <w:szCs w:val="20"/>
              </w:rPr>
              <w:t>a później niż do dnia 01.01.201</w:t>
            </w:r>
            <w:r w:rsidR="007F66BE">
              <w:rPr>
                <w:rFonts w:ascii="Tahoma" w:hAnsi="Tahoma" w:cs="Tahoma"/>
                <w:sz w:val="20"/>
                <w:szCs w:val="20"/>
              </w:rPr>
              <w:t>9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 </w:t>
            </w:r>
          </w:p>
        </w:tc>
      </w:tr>
    </w:tbl>
    <w:p w:rsidR="000A31D5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183"/>
        <w:gridCol w:w="3118"/>
      </w:tblGrid>
      <w:tr w:rsidR="00DC349E" w:rsidRPr="00ED5C2B" w:rsidTr="0095184B">
        <w:trPr>
          <w:trHeight w:val="402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E" w:rsidRPr="00ED5C2B" w:rsidRDefault="00DC349E" w:rsidP="00ED3F4B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Oprogramowanie </w:t>
            </w:r>
            <w:r>
              <w:rPr>
                <w:rFonts w:ascii="Tahoma" w:hAnsi="Tahoma" w:cs="Tahoma"/>
                <w:b/>
              </w:rPr>
              <w:t>typu system operacyjny</w:t>
            </w:r>
            <w:r w:rsidR="00CB3EF7">
              <w:rPr>
                <w:rFonts w:ascii="Tahoma" w:hAnsi="Tahoma" w:cs="Tahoma"/>
                <w:b/>
              </w:rPr>
              <w:t xml:space="preserve"> dla stacji roboczych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E" w:rsidRPr="00ED5C2B" w:rsidRDefault="00DC349E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0 licencji</w:t>
            </w:r>
          </w:p>
        </w:tc>
      </w:tr>
      <w:tr w:rsidR="00DC349E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E" w:rsidRPr="00ED5C2B" w:rsidRDefault="00DC349E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E" w:rsidRPr="00ED5C2B" w:rsidRDefault="00DC349E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DC349E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E" w:rsidRPr="00ED5C2B" w:rsidRDefault="00DC349E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E" w:rsidRPr="00ED3F4B" w:rsidRDefault="00DC349E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3F4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3F4B">
              <w:rPr>
                <w:rFonts w:ascii="Tahoma" w:hAnsi="Tahoma" w:cs="Tahoma"/>
                <w:sz w:val="20"/>
                <w:szCs w:val="20"/>
              </w:rPr>
              <w:t xml:space="preserve"> aktualizacja oprogramowania Windows 7 Professional OEM PL</w:t>
            </w:r>
            <w:r w:rsidR="00DD0692">
              <w:rPr>
                <w:rFonts w:ascii="Tahoma" w:hAnsi="Tahoma" w:cs="Tahoma"/>
                <w:sz w:val="20"/>
                <w:szCs w:val="20"/>
              </w:rPr>
              <w:t xml:space="preserve"> 64 bit</w:t>
            </w:r>
            <w:r w:rsidRPr="00ED3F4B">
              <w:rPr>
                <w:rFonts w:ascii="Tahoma" w:hAnsi="Tahoma" w:cs="Tahoma"/>
                <w:sz w:val="20"/>
                <w:szCs w:val="20"/>
              </w:rPr>
              <w:t xml:space="preserve"> do wersji Windows 10 </w:t>
            </w:r>
            <w:r w:rsidR="00ED3F4B" w:rsidRPr="00ED3F4B">
              <w:rPr>
                <w:rFonts w:ascii="Tahoma" w:hAnsi="Tahoma" w:cs="Tahoma"/>
                <w:sz w:val="20"/>
                <w:szCs w:val="20"/>
              </w:rPr>
              <w:t xml:space="preserve">Professional </w:t>
            </w:r>
            <w:r w:rsidRPr="00ED3F4B">
              <w:rPr>
                <w:rFonts w:ascii="Tahoma" w:hAnsi="Tahoma" w:cs="Tahoma"/>
                <w:sz w:val="20"/>
                <w:szCs w:val="20"/>
              </w:rPr>
              <w:t xml:space="preserve">PL </w:t>
            </w:r>
            <w:r w:rsidR="00DD0692">
              <w:rPr>
                <w:rFonts w:ascii="Tahoma" w:hAnsi="Tahoma" w:cs="Tahoma"/>
                <w:sz w:val="20"/>
                <w:szCs w:val="20"/>
              </w:rPr>
              <w:t xml:space="preserve">64 bit lub oprogramowanie Windows 10 </w:t>
            </w:r>
            <w:r w:rsidR="00DD0692" w:rsidRPr="00ED3F4B">
              <w:rPr>
                <w:rFonts w:ascii="Tahoma" w:hAnsi="Tahoma" w:cs="Tahoma"/>
                <w:sz w:val="20"/>
                <w:szCs w:val="20"/>
              </w:rPr>
              <w:t xml:space="preserve">Professional PL </w:t>
            </w:r>
            <w:r w:rsidR="00DD0692">
              <w:rPr>
                <w:rFonts w:ascii="Tahoma" w:hAnsi="Tahoma" w:cs="Tahoma"/>
                <w:sz w:val="20"/>
                <w:szCs w:val="20"/>
              </w:rPr>
              <w:t>64 bit w wersji Box</w:t>
            </w:r>
          </w:p>
          <w:p w:rsidR="0045317B" w:rsidRPr="007970C1" w:rsidRDefault="0045317B" w:rsidP="0045317B">
            <w:pPr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2B507A">
              <w:rPr>
                <w:rFonts w:ascii="Tahoma" w:hAnsi="Tahoma" w:cs="Tahoma"/>
                <w:sz w:val="20"/>
                <w:szCs w:val="20"/>
              </w:rPr>
              <w:t>ub oprogramowanie równoważne 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podobnej</w:t>
            </w:r>
            <w:r w:rsidRPr="002B507A">
              <w:rPr>
                <w:rFonts w:ascii="Tahoma" w:hAnsi="Tahoma" w:cs="Tahoma"/>
                <w:sz w:val="20"/>
                <w:szCs w:val="20"/>
              </w:rPr>
              <w:t xml:space="preserve"> funkcjonalności umożliwiającej w szczególności</w:t>
            </w:r>
            <w:r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:</w:t>
            </w:r>
          </w:p>
          <w:p w:rsidR="00DC349E" w:rsidRDefault="00DC349E" w:rsidP="00DC349E">
            <w:pPr>
              <w:pStyle w:val="Akapitzlist"/>
              <w:numPr>
                <w:ilvl w:val="6"/>
                <w:numId w:val="12"/>
              </w:numPr>
              <w:tabs>
                <w:tab w:val="clear" w:pos="5040"/>
              </w:tabs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Umożliwiające zarządzanie oprogramowaniem za pośrednictwem polis GPO publikowanych w systemie Windows Active Directory</w:t>
            </w:r>
            <w:r w:rsid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we aspektach ja</w:t>
            </w:r>
            <w:r w:rsidR="00DD0692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k</w:t>
            </w:r>
            <w:r w:rsid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w oprogramowaniu Windows 10 </w:t>
            </w:r>
            <w:r w:rsidR="00ED3F4B" w:rsidRPr="00ED3F4B">
              <w:rPr>
                <w:rFonts w:ascii="Tahoma" w:hAnsi="Tahoma" w:cs="Tahoma"/>
                <w:sz w:val="20"/>
                <w:szCs w:val="20"/>
              </w:rPr>
              <w:t>Professional</w:t>
            </w: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,</w:t>
            </w:r>
          </w:p>
          <w:p w:rsidR="00DD0692" w:rsidRPr="00ED3F4B" w:rsidRDefault="00DD0692" w:rsidP="00DC349E">
            <w:pPr>
              <w:pStyle w:val="Akapitzlist"/>
              <w:numPr>
                <w:ilvl w:val="6"/>
                <w:numId w:val="12"/>
              </w:numPr>
              <w:tabs>
                <w:tab w:val="clear" w:pos="5040"/>
              </w:tabs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Zgodne z oprogramowaniem Windows Serwer 2016,</w:t>
            </w:r>
          </w:p>
          <w:p w:rsidR="00DC349E" w:rsidRPr="00ED3F4B" w:rsidRDefault="00DC349E" w:rsidP="00DC349E">
            <w:pPr>
              <w:pStyle w:val="Akapitzlist"/>
              <w:numPr>
                <w:ilvl w:val="6"/>
                <w:numId w:val="12"/>
              </w:numPr>
              <w:tabs>
                <w:tab w:val="clear" w:pos="5040"/>
              </w:tabs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Umożliwiające uruchamianie oprogramowania przeznaczonego do pracy na platformie Windows bez konieczności użycia oprogramowania pośredniczącego</w:t>
            </w:r>
            <w:r w:rsidR="00DD0692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zarówno w wersji 32 jak i 64 bit</w:t>
            </w: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,</w:t>
            </w:r>
          </w:p>
          <w:p w:rsidR="00DC349E" w:rsidRPr="00ED3F4B" w:rsidRDefault="00DC349E" w:rsidP="00DC349E">
            <w:pPr>
              <w:pStyle w:val="Akapitzlist"/>
              <w:numPr>
                <w:ilvl w:val="6"/>
                <w:numId w:val="12"/>
              </w:numPr>
              <w:tabs>
                <w:tab w:val="clear" w:pos="5040"/>
              </w:tabs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Zapewniające uwierzytelnianie komputerów i użytkowników w posiadanej przez Zamawiającego domenie Windows,</w:t>
            </w:r>
          </w:p>
          <w:p w:rsidR="00DC349E" w:rsidRDefault="00DC349E" w:rsidP="00DC349E">
            <w:pPr>
              <w:pStyle w:val="Akapitzlist"/>
              <w:numPr>
                <w:ilvl w:val="6"/>
                <w:numId w:val="12"/>
              </w:numPr>
              <w:tabs>
                <w:tab w:val="clear" w:pos="5040"/>
              </w:tabs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Zapewniające możliwość zarządzania uprawnieniami do p</w:t>
            </w:r>
            <w:r w:rsidR="00DD0692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l</w:t>
            </w: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ików i folderów w sposób identyczny jak w</w:t>
            </w:r>
            <w:r w:rsidR="00DD0692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 </w:t>
            </w: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systemach Windows 10</w:t>
            </w:r>
            <w:r w:rsidR="00DD0692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  <w:r w:rsidR="00DD0692" w:rsidRPr="00ED3F4B">
              <w:rPr>
                <w:rFonts w:ascii="Tahoma" w:hAnsi="Tahoma" w:cs="Tahoma"/>
                <w:sz w:val="20"/>
                <w:szCs w:val="20"/>
              </w:rPr>
              <w:t>Professional</w:t>
            </w: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, Windows Serwer 2016,</w:t>
            </w:r>
          </w:p>
          <w:p w:rsidR="00DD0692" w:rsidRPr="00DD0692" w:rsidRDefault="00DD0692" w:rsidP="00DD0692">
            <w:pPr>
              <w:pStyle w:val="Akapitzlist"/>
              <w:numPr>
                <w:ilvl w:val="6"/>
                <w:numId w:val="12"/>
              </w:numPr>
              <w:tabs>
                <w:tab w:val="clear" w:pos="5040"/>
              </w:tabs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Zapewniające możliwość </w:t>
            </w: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audytowania obiektów </w:t>
            </w: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w sposób identyczny jak w</w:t>
            </w: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 </w:t>
            </w: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systemach Windows 10</w:t>
            </w: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  <w:r w:rsidRPr="00ED3F4B">
              <w:rPr>
                <w:rFonts w:ascii="Tahoma" w:hAnsi="Tahoma" w:cs="Tahoma"/>
                <w:sz w:val="20"/>
                <w:szCs w:val="20"/>
              </w:rPr>
              <w:t>Professional</w:t>
            </w: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</w:p>
          <w:p w:rsidR="00DC349E" w:rsidRPr="00ED3F4B" w:rsidRDefault="00DC349E" w:rsidP="00353124">
            <w:pPr>
              <w:pStyle w:val="Akapitzlist"/>
              <w:numPr>
                <w:ilvl w:val="6"/>
                <w:numId w:val="12"/>
              </w:numPr>
              <w:tabs>
                <w:tab w:val="clear" w:pos="5040"/>
              </w:tabs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Zap</w:t>
            </w:r>
            <w:r w:rsidR="00353124"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ewniające możliwość zarządzania przy pomocy oprogramowania o którym jest mowa w </w:t>
            </w:r>
            <w:r w:rsidR="00DD0692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P</w:t>
            </w:r>
            <w:r w:rsidR="00353124"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oz. 5</w:t>
            </w:r>
            <w:r w:rsidRPr="00ED3F4B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.</w:t>
            </w:r>
          </w:p>
          <w:p w:rsidR="00DC349E" w:rsidRPr="00ED5C2B" w:rsidRDefault="00DC349E" w:rsidP="00353124">
            <w:pPr>
              <w:jc w:val="both"/>
            </w:pPr>
            <w:r w:rsidRPr="00ED3F4B">
              <w:rPr>
                <w:rFonts w:ascii="Tahoma" w:hAnsi="Tahoma" w:cs="Tahoma"/>
                <w:sz w:val="20"/>
                <w:szCs w:val="20"/>
              </w:rPr>
              <w:t xml:space="preserve">W przypadku dostarczenia oprogramowania równoważnego, należy zapewnić odpowiednie szkolenia dla </w:t>
            </w:r>
            <w:r w:rsidR="00353124" w:rsidRPr="00ED3F4B">
              <w:rPr>
                <w:rFonts w:ascii="Tahoma" w:hAnsi="Tahoma" w:cs="Tahoma"/>
                <w:sz w:val="20"/>
                <w:szCs w:val="20"/>
              </w:rPr>
              <w:t>minimum 4 informatyków z zakresu instalacji i zarządzania oprogramowaniem oraz dla użytkowników z </w:t>
            </w:r>
            <w:r w:rsidRPr="00ED3F4B">
              <w:rPr>
                <w:rFonts w:ascii="Tahoma" w:hAnsi="Tahoma" w:cs="Tahoma"/>
                <w:sz w:val="20"/>
                <w:szCs w:val="20"/>
              </w:rPr>
              <w:t>zakresu obsługi i eksploatacji tego oprogramowania.</w:t>
            </w:r>
            <w:r w:rsidR="00353124" w:rsidRPr="00ED3F4B">
              <w:rPr>
                <w:rFonts w:ascii="Tahoma" w:hAnsi="Tahoma" w:cs="Tahoma"/>
                <w:sz w:val="20"/>
                <w:szCs w:val="20"/>
              </w:rPr>
              <w:t xml:space="preserve"> Ponadto w przypadku dostarczenia oprogramowania równoważnego należy zapewnić migracje wykorzystywanego oprogramowania przez Zamawiającego na dostarczone oprogramowanie wraz z integracją tego oprogramowania z posiadanymi przez Zamawiającego systemami i oprogramowaniem.</w:t>
            </w:r>
          </w:p>
        </w:tc>
      </w:tr>
      <w:tr w:rsidR="00DC349E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E" w:rsidRPr="00ED5C2B" w:rsidRDefault="00353124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C349E"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9E" w:rsidRPr="00ED5C2B" w:rsidRDefault="00DC349E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Typ licencjonowania:</w:t>
            </w:r>
            <w:r w:rsidR="00353124">
              <w:rPr>
                <w:rFonts w:ascii="Tahoma" w:hAnsi="Tahoma" w:cs="Tahoma"/>
                <w:sz w:val="20"/>
                <w:szCs w:val="20"/>
              </w:rPr>
              <w:t xml:space="preserve"> Grupowe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bezterminowe</w:t>
            </w:r>
            <w:r w:rsidR="00353124">
              <w:rPr>
                <w:rFonts w:ascii="Tahoma" w:hAnsi="Tahoma" w:cs="Tahoma"/>
                <w:sz w:val="20"/>
                <w:szCs w:val="20"/>
              </w:rPr>
              <w:t xml:space="preserve"> lub typu </w:t>
            </w:r>
            <w:proofErr w:type="spellStart"/>
            <w:r w:rsidR="00353124">
              <w:rPr>
                <w:rFonts w:ascii="Tahoma" w:hAnsi="Tahoma" w:cs="Tahoma"/>
                <w:sz w:val="20"/>
                <w:szCs w:val="20"/>
              </w:rPr>
              <w:t>box</w:t>
            </w:r>
            <w:proofErr w:type="spellEnd"/>
            <w:r w:rsidR="00CB3EF7">
              <w:rPr>
                <w:rFonts w:ascii="Tahoma" w:hAnsi="Tahoma" w:cs="Tahoma"/>
                <w:sz w:val="20"/>
                <w:szCs w:val="20"/>
              </w:rPr>
              <w:t>,</w:t>
            </w:r>
            <w:r w:rsidR="00353124">
              <w:rPr>
                <w:rFonts w:ascii="Tahoma" w:hAnsi="Tahoma" w:cs="Tahoma"/>
                <w:sz w:val="20"/>
                <w:szCs w:val="20"/>
              </w:rPr>
              <w:t xml:space="preserve"> bezterminowy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183"/>
        <w:gridCol w:w="3118"/>
      </w:tblGrid>
      <w:tr w:rsidR="000A31D5" w:rsidRPr="00ED5C2B" w:rsidTr="0095184B">
        <w:trPr>
          <w:trHeight w:val="402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ED3F4B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35312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>Oprogramowanie biurowe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 w:rsidR="00DC349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0 licencji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1C390D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0A31D5"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oprogramowanie </w:t>
            </w:r>
            <w:r w:rsidRPr="003542E7">
              <w:rPr>
                <w:rFonts w:ascii="Tahoma" w:hAnsi="Tahoma" w:cs="Tahoma"/>
                <w:sz w:val="20"/>
                <w:szCs w:val="20"/>
              </w:rPr>
              <w:t>Microsoft Office 201</w:t>
            </w:r>
            <w:r w:rsidR="007F66BE" w:rsidRPr="003542E7">
              <w:rPr>
                <w:rFonts w:ascii="Tahoma" w:hAnsi="Tahoma" w:cs="Tahoma"/>
                <w:sz w:val="20"/>
                <w:szCs w:val="20"/>
              </w:rPr>
              <w:t>9</w:t>
            </w:r>
            <w:r w:rsidRPr="003542E7">
              <w:rPr>
                <w:rFonts w:ascii="Tahoma" w:hAnsi="Tahoma" w:cs="Tahoma"/>
                <w:sz w:val="20"/>
                <w:szCs w:val="20"/>
              </w:rPr>
              <w:t xml:space="preserve"> Standard PL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(licencja musi zawierać prawo do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downgrade’u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42E7">
              <w:rPr>
                <w:rFonts w:ascii="Tahoma" w:hAnsi="Tahoma" w:cs="Tahoma"/>
                <w:sz w:val="20"/>
                <w:szCs w:val="20"/>
              </w:rPr>
              <w:t>do wcześniejszych wersji oprogramowania Office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0A31D5" w:rsidRPr="00801ECA" w:rsidRDefault="000A31D5" w:rsidP="0095184B">
            <w:pPr>
              <w:jc w:val="both"/>
              <w:rPr>
                <w:rStyle w:val="Hipercze"/>
                <w:rFonts w:ascii="Tahoma" w:hAnsi="Tahoma" w:cs="Tahoma"/>
                <w:color w:val="auto"/>
                <w:u w:val="none"/>
              </w:rPr>
            </w:pPr>
            <w:r w:rsidRPr="00801ECA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lub oprogramowanie równoważne o podobnej funkcjonalności, wyposażone w interfejs API zgodny z oprogramowaniem Office oraz zapewniaj</w:t>
            </w:r>
            <w:r w:rsidR="003F4168" w:rsidRPr="00801ECA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ą</w:t>
            </w:r>
            <w:r w:rsidRPr="00801ECA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ce bezobsługowe (nie wymagające wykonania dodatkowych czynności takich jak konwersja czy przepisanie oprogramowania na nowy język) działanie makr i programów napisanych w języku VBA, zawartych w dokumentach użytkowanych przez Zamawiającego.</w:t>
            </w:r>
            <w:r w:rsidR="003542E7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Ponadto przy otwieraniu dokumentów sporządzonych w oprogramowaniu Office za pomocą oprogramowania równoważnego, dokumenty nie mogą zmieniać postaci wizualnej, wymagać poprawek formatowania itp.</w:t>
            </w:r>
          </w:p>
          <w:p w:rsidR="000A31D5" w:rsidRPr="00ED5C2B" w:rsidRDefault="000A31D5" w:rsidP="0095184B">
            <w:pPr>
              <w:jc w:val="both"/>
            </w:pPr>
            <w:r w:rsidRPr="00ED5C2B">
              <w:rPr>
                <w:rFonts w:ascii="Tahoma" w:hAnsi="Tahoma" w:cs="Tahoma"/>
                <w:sz w:val="20"/>
                <w:szCs w:val="20"/>
              </w:rPr>
              <w:t>W przypadku dostarczenia oprogramowania równoważnego, należy zapewnić odpowiednie szkolenia dla użytkowników z zakresu obsługi i eksploatacji tego oprogramowania.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542E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Platforma systemowa: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Windows 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wersji 32 i 64 bitowej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Typ licencjonowania: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Grupowe, bezterminowe.</w:t>
            </w:r>
          </w:p>
        </w:tc>
      </w:tr>
    </w:tbl>
    <w:p w:rsidR="000A31D5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p w:rsidR="003542E7" w:rsidRPr="00ED5C2B" w:rsidRDefault="003542E7" w:rsidP="003542E7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183"/>
        <w:gridCol w:w="3118"/>
      </w:tblGrid>
      <w:tr w:rsidR="003542E7" w:rsidRPr="00ED5C2B" w:rsidTr="0095184B">
        <w:trPr>
          <w:trHeight w:val="402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ED5C2B" w:rsidRDefault="003542E7" w:rsidP="009162D6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Poz. </w:t>
            </w:r>
            <w:r w:rsidR="009162D6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>Oprogramowanie</w:t>
            </w:r>
            <w:r>
              <w:rPr>
                <w:rFonts w:ascii="Tahoma" w:hAnsi="Tahoma" w:cs="Tahoma"/>
                <w:b/>
              </w:rPr>
              <w:t xml:space="preserve"> OCR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ED5C2B" w:rsidRDefault="003542E7" w:rsidP="003542E7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 licencje</w:t>
            </w:r>
          </w:p>
        </w:tc>
      </w:tr>
      <w:tr w:rsidR="003542E7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ED5C2B" w:rsidRDefault="003542E7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ED5C2B" w:rsidRDefault="003542E7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3542E7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ED5C2B" w:rsidRDefault="003542E7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7970C1" w:rsidRDefault="003542E7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70C1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7970C1">
              <w:rPr>
                <w:rFonts w:ascii="Tahoma" w:hAnsi="Tahoma" w:cs="Tahoma"/>
                <w:sz w:val="20"/>
                <w:szCs w:val="20"/>
              </w:rPr>
              <w:t xml:space="preserve"> oprogramowanie </w:t>
            </w:r>
            <w:proofErr w:type="spellStart"/>
            <w:r w:rsidRPr="007970C1">
              <w:rPr>
                <w:rFonts w:ascii="Tahoma" w:hAnsi="Tahoma" w:cs="Tahoma"/>
                <w:sz w:val="20"/>
                <w:szCs w:val="20"/>
              </w:rPr>
              <w:t>Abbyy</w:t>
            </w:r>
            <w:proofErr w:type="spellEnd"/>
            <w:r w:rsidRPr="007970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970C1">
              <w:rPr>
                <w:rFonts w:ascii="Tahoma" w:hAnsi="Tahoma" w:cs="Tahoma"/>
                <w:sz w:val="20"/>
                <w:szCs w:val="20"/>
              </w:rPr>
              <w:t>FineReader</w:t>
            </w:r>
            <w:proofErr w:type="spellEnd"/>
            <w:r w:rsidRPr="007970C1">
              <w:rPr>
                <w:rFonts w:ascii="Tahoma" w:hAnsi="Tahoma" w:cs="Tahoma"/>
                <w:sz w:val="20"/>
                <w:szCs w:val="20"/>
              </w:rPr>
              <w:t xml:space="preserve"> 14 </w:t>
            </w:r>
            <w:proofErr w:type="spellStart"/>
            <w:r w:rsidRPr="007970C1">
              <w:rPr>
                <w:rFonts w:ascii="Tahoma" w:hAnsi="Tahoma" w:cs="Tahoma"/>
                <w:sz w:val="20"/>
                <w:szCs w:val="20"/>
              </w:rPr>
              <w:t>Corporate</w:t>
            </w:r>
            <w:proofErr w:type="spellEnd"/>
            <w:r w:rsidR="002B507A">
              <w:rPr>
                <w:rFonts w:ascii="Tahoma" w:hAnsi="Tahoma" w:cs="Tahoma"/>
                <w:sz w:val="20"/>
                <w:szCs w:val="20"/>
              </w:rPr>
              <w:t>,</w:t>
            </w:r>
            <w:r w:rsidR="00181955">
              <w:rPr>
                <w:rFonts w:ascii="Tahoma" w:hAnsi="Tahoma" w:cs="Tahoma"/>
                <w:sz w:val="20"/>
                <w:szCs w:val="20"/>
              </w:rPr>
              <w:t xml:space="preserve"> licencjonowane w </w:t>
            </w:r>
            <w:r w:rsidR="00FA6ED1">
              <w:rPr>
                <w:rFonts w:ascii="Tahoma" w:hAnsi="Tahoma" w:cs="Tahoma"/>
                <w:sz w:val="20"/>
                <w:szCs w:val="20"/>
              </w:rPr>
              <w:t xml:space="preserve">trybie jednoczesnego dostępu, gdzie oprogramowanie jest instalowane na serwerze i może być użytkowane na wielu stanowiskach w ramach licencji. </w:t>
            </w:r>
            <w:r w:rsidR="00C30E31">
              <w:rPr>
                <w:rFonts w:ascii="Tahoma" w:hAnsi="Tahoma" w:cs="Tahoma"/>
                <w:sz w:val="20"/>
                <w:szCs w:val="20"/>
              </w:rPr>
              <w:t>Należy dostarczyć 2 niezależne licencje umożliwiające jednoczesny dostęp do oprogramowania dla jednego użytkownika dla 2 lokalizacji Zamawiającego niezależnie.</w:t>
            </w:r>
          </w:p>
          <w:p w:rsidR="009162D6" w:rsidRPr="007970C1" w:rsidRDefault="0045317B" w:rsidP="0095184B">
            <w:pPr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2B507A" w:rsidRPr="002B507A">
              <w:rPr>
                <w:rFonts w:ascii="Tahoma" w:hAnsi="Tahoma" w:cs="Tahoma"/>
                <w:sz w:val="20"/>
                <w:szCs w:val="20"/>
              </w:rPr>
              <w:t>ub oprogramowanie równoważne 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podobnej</w:t>
            </w:r>
            <w:r w:rsidR="002B507A" w:rsidRPr="002B507A">
              <w:rPr>
                <w:rFonts w:ascii="Tahoma" w:hAnsi="Tahoma" w:cs="Tahoma"/>
                <w:sz w:val="20"/>
                <w:szCs w:val="20"/>
              </w:rPr>
              <w:t xml:space="preserve"> funkcjonalności umożliwiającej w szczególności</w:t>
            </w:r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:</w:t>
            </w:r>
          </w:p>
          <w:p w:rsidR="003542E7" w:rsidRPr="007970C1" w:rsidRDefault="00C30E31" w:rsidP="007970C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P</w:t>
            </w:r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rzetwarzanie dokumentów graficznych (w </w:t>
            </w:r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formacie</w:t>
            </w:r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pdf</w:t>
            </w:r>
            <w:r w:rsid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graficzny</w:t>
            </w:r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, jp</w:t>
            </w:r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g,</w:t>
            </w:r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png</w:t>
            </w:r>
            <w:proofErr w:type="spellEnd"/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tif</w:t>
            </w:r>
            <w:proofErr w:type="spellEnd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bmp</w:t>
            </w:r>
            <w:proofErr w:type="spellEnd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dcx, </w:t>
            </w:r>
            <w:proofErr w:type="spellStart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djv</w:t>
            </w:r>
            <w:proofErr w:type="spellEnd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pcx</w:t>
            </w:r>
            <w:proofErr w:type="spellEnd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xps</w:t>
            </w:r>
            <w:proofErr w:type="spellEnd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wdp</w:t>
            </w:r>
            <w:proofErr w:type="spellEnd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wmp</w:t>
            </w:r>
            <w:proofErr w:type="spellEnd"/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) na dokumenty tekstowe </w:t>
            </w:r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w </w:t>
            </w:r>
            <w:r w:rsidR="009162D6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formacie Word, Excel</w:t>
            </w:r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, Open Office Writer,</w:t>
            </w:r>
            <w:r w:rsid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pdf tekstowy,</w:t>
            </w:r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txt, </w:t>
            </w:r>
            <w:proofErr w:type="spellStart"/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csv</w:t>
            </w:r>
            <w:proofErr w:type="spellEnd"/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DjVu</w:t>
            </w:r>
            <w:proofErr w:type="spellEnd"/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pptx</w:t>
            </w:r>
            <w:proofErr w:type="spellEnd"/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html</w:t>
            </w:r>
            <w:proofErr w:type="spellEnd"/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,</w:t>
            </w:r>
          </w:p>
          <w:p w:rsidR="007970C1" w:rsidRDefault="00C30E31" w:rsidP="007970C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A</w:t>
            </w:r>
            <w:r w:rsidR="007970C1" w:rsidRP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utomatyczne wykrywanie podczas przetwarzania obrazów</w:t>
            </w:r>
            <w:r w:rsid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obszarów zajmowanych przez zdjęcia, tabele,</w:t>
            </w:r>
          </w:p>
          <w:p w:rsidR="007970C1" w:rsidRDefault="00C30E31" w:rsidP="007970C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O</w:t>
            </w:r>
            <w:r w:rsid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dtwarzanie na przetworzonym dokumencie tekstowych formatowania i układu strony zaw</w:t>
            </w:r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artego na dokumencie graficznym.</w:t>
            </w:r>
          </w:p>
          <w:p w:rsidR="007970C1" w:rsidRDefault="00C30E31" w:rsidP="007970C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P</w:t>
            </w:r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rzed eksportem </w:t>
            </w:r>
            <w:r w:rsidR="007970C1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możliwość edycji </w:t>
            </w:r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przetworzonego dokumentu w oprogramowaniu równoważnym.</w:t>
            </w:r>
          </w:p>
          <w:p w:rsidR="00181955" w:rsidRDefault="00C30E31" w:rsidP="007970C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O</w:t>
            </w:r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znaczanie liter, których przetworzenia oprogramowanie równoważne nie jest pewne.</w:t>
            </w:r>
          </w:p>
          <w:p w:rsidR="002B507A" w:rsidRPr="002B507A" w:rsidRDefault="00994D49" w:rsidP="002B507A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Obsługa rozpoznawania dokumentów minimum dla 100 języków w tym dla dokumentów w </w:t>
            </w:r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języku polskim, angielskim, rosyjskim, ukraińskim.</w:t>
            </w:r>
          </w:p>
          <w:p w:rsidR="00181955" w:rsidRDefault="00C30E31" w:rsidP="007970C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P</w:t>
            </w:r>
            <w:r w:rsidR="00181955"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ewność przetwarzania minimum na poziomie 99,8%.</w:t>
            </w:r>
          </w:p>
          <w:p w:rsidR="002B507A" w:rsidRDefault="002B507A" w:rsidP="007970C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Funkcja porównywania dokumentów wraz z możliwością generowania raportu różnic.</w:t>
            </w:r>
          </w:p>
          <w:p w:rsidR="00181955" w:rsidRDefault="00181955" w:rsidP="007970C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Obsługa skanerów dokumentów w trybie TWAIN i WIA wraz z obsługą urządzeń wielofunkcyjnych (MFP).</w:t>
            </w:r>
          </w:p>
          <w:p w:rsidR="00181955" w:rsidRDefault="00181955" w:rsidP="00181955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Polska wersja interfejsu użytkownika.</w:t>
            </w:r>
          </w:p>
          <w:p w:rsidR="00C30E31" w:rsidRDefault="00C30E31" w:rsidP="00181955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Obsługa zautomatyzowanych zadań.</w:t>
            </w:r>
          </w:p>
          <w:p w:rsidR="00C30E31" w:rsidRPr="00C30E31" w:rsidRDefault="00C30E31" w:rsidP="00C30E3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  <w:t>Obsługa funkcji gorącego folderu do którego użytkownicy mogą zapisywać pliki graficzne, a oprogramowanie równoważne będzie przetwarzać pliki graficzne na pliki tekstowe partiami lub zgodnie z harmonogramem.</w:t>
            </w:r>
          </w:p>
          <w:p w:rsidR="00181955" w:rsidRDefault="00C30E31" w:rsidP="00C30E3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C30E31">
              <w:rPr>
                <w:rFonts w:ascii="Tahoma" w:hAnsi="Tahoma" w:cs="Tahoma"/>
                <w:sz w:val="20"/>
                <w:szCs w:val="20"/>
              </w:rPr>
              <w:t>icencjonowane w trybie jednoczesnego dostępu, gdzie oprogramowanie jest instalowane na serwerze i może być użytkowane na wielu stanowiskach w ramach licencji. Należy dostarczyć 2 niezależne licencje umożliwiające jednoczesny dostęp do oprogramowania dla jednego użytkownika dla 2 lokalizacji  Zamawiającego niezależnie.</w:t>
            </w:r>
          </w:p>
          <w:p w:rsidR="002B507A" w:rsidRPr="00C30E31" w:rsidRDefault="002B507A" w:rsidP="00C30E31">
            <w:pPr>
              <w:pStyle w:val="Akapitzlist"/>
              <w:numPr>
                <w:ilvl w:val="0"/>
                <w:numId w:val="13"/>
              </w:numPr>
              <w:ind w:left="301" w:hanging="301"/>
              <w:jc w:val="both"/>
              <w:rPr>
                <w:rStyle w:val="Hipercze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Limity przetwarzania dokumentów minimum 5000 stron na miesiąc przy wykorzystaniu minimum 2 procesorów CPU .</w:t>
            </w:r>
          </w:p>
          <w:p w:rsidR="003542E7" w:rsidRPr="00ED5C2B" w:rsidRDefault="003542E7" w:rsidP="0095184B">
            <w:pPr>
              <w:jc w:val="both"/>
            </w:pPr>
            <w:r w:rsidRPr="007970C1">
              <w:rPr>
                <w:rFonts w:ascii="Tahoma" w:hAnsi="Tahoma" w:cs="Tahoma"/>
                <w:sz w:val="20"/>
                <w:szCs w:val="20"/>
              </w:rPr>
              <w:t>W przypadku dostarczenia oprogramowania równoważnego, należy zapewnić odpowiednie szkolenia dla użytkowników z zakresu obsługi i eksploatacji tego oprogramowania.</w:t>
            </w:r>
          </w:p>
        </w:tc>
      </w:tr>
      <w:tr w:rsidR="003542E7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ED5C2B" w:rsidRDefault="003542E7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ED5C2B" w:rsidRDefault="003542E7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Platforma systemowa: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Windows </w:t>
            </w:r>
            <w:r w:rsidR="002B507A">
              <w:rPr>
                <w:rFonts w:ascii="Tahoma" w:hAnsi="Tahoma" w:cs="Tahoma"/>
                <w:sz w:val="20"/>
                <w:szCs w:val="20"/>
              </w:rPr>
              <w:t xml:space="preserve">7, </w:t>
            </w:r>
            <w:r w:rsidRPr="00ED5C2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wersji 32 i 64 bitowej</w:t>
            </w:r>
            <w:r w:rsidR="002B507A">
              <w:rPr>
                <w:rFonts w:ascii="Tahoma" w:hAnsi="Tahoma" w:cs="Tahoma"/>
                <w:sz w:val="20"/>
                <w:szCs w:val="20"/>
              </w:rPr>
              <w:t xml:space="preserve"> i Windows Serwer 2012R2 i 2016.</w:t>
            </w:r>
          </w:p>
        </w:tc>
      </w:tr>
      <w:tr w:rsidR="003542E7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ED5C2B" w:rsidRDefault="003542E7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E7" w:rsidRPr="00ED5C2B" w:rsidRDefault="00CB3EF7" w:rsidP="003542E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licencjonowania: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bezterminowy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3542E7" w:rsidRDefault="003542E7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324"/>
        <w:gridCol w:w="2977"/>
      </w:tblGrid>
      <w:tr w:rsidR="00B23BE3" w:rsidRPr="00ED5C2B" w:rsidTr="0095184B">
        <w:trPr>
          <w:trHeight w:val="402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E3" w:rsidRPr="00ED5C2B" w:rsidRDefault="00B23BE3" w:rsidP="00B23BE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>
              <w:rPr>
                <w:rFonts w:ascii="Tahoma" w:hAnsi="Tahoma" w:cs="Tahoma"/>
                <w:b/>
              </w:rPr>
              <w:t>Oprogramowanie zabezpieczające</w:t>
            </w:r>
            <w:r w:rsidRPr="00ED5C2B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E3" w:rsidRPr="00ED5C2B" w:rsidRDefault="00B23BE3" w:rsidP="00B23BE3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9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licencji</w:t>
            </w:r>
          </w:p>
        </w:tc>
      </w:tr>
      <w:tr w:rsidR="00B23BE3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E3" w:rsidRPr="00ED5C2B" w:rsidRDefault="00B23BE3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E3" w:rsidRPr="00ED5C2B" w:rsidRDefault="00B23BE3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B23BE3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E3" w:rsidRPr="00ED5C2B" w:rsidRDefault="00B23BE3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4B" w:rsidRDefault="00B23BE3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184B">
              <w:rPr>
                <w:rFonts w:ascii="Tahoma" w:hAnsi="Tahoma" w:cs="Tahoma"/>
                <w:sz w:val="20"/>
                <w:szCs w:val="20"/>
              </w:rPr>
              <w:t xml:space="preserve">oprogramowanie </w:t>
            </w:r>
            <w:proofErr w:type="spellStart"/>
            <w:r w:rsidR="00E35BD3">
              <w:rPr>
                <w:rFonts w:ascii="Tahoma" w:hAnsi="Tahoma" w:cs="Tahoma"/>
                <w:sz w:val="20"/>
                <w:szCs w:val="20"/>
              </w:rPr>
              <w:t>Reboot</w:t>
            </w:r>
            <w:proofErr w:type="spellEnd"/>
            <w:r w:rsidR="00E35B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35BD3">
              <w:rPr>
                <w:rFonts w:ascii="Tahoma" w:hAnsi="Tahoma" w:cs="Tahoma"/>
                <w:sz w:val="20"/>
                <w:szCs w:val="20"/>
              </w:rPr>
              <w:t>Restore</w:t>
            </w:r>
            <w:proofErr w:type="spellEnd"/>
            <w:r w:rsidR="00E35B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35BD3">
              <w:rPr>
                <w:rFonts w:ascii="Tahoma" w:hAnsi="Tahoma" w:cs="Tahoma"/>
                <w:sz w:val="20"/>
                <w:szCs w:val="20"/>
              </w:rPr>
              <w:t>Rx</w:t>
            </w:r>
            <w:proofErr w:type="spellEnd"/>
            <w:r w:rsidR="00E35BD3">
              <w:rPr>
                <w:rFonts w:ascii="Tahoma" w:hAnsi="Tahoma" w:cs="Tahoma"/>
                <w:sz w:val="20"/>
                <w:szCs w:val="20"/>
              </w:rPr>
              <w:t xml:space="preserve"> Pro</w:t>
            </w:r>
          </w:p>
          <w:p w:rsidR="00E35BD3" w:rsidRDefault="00B23BE3" w:rsidP="00E35BD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574F">
              <w:rPr>
                <w:rFonts w:ascii="Tahoma" w:hAnsi="Tahoma" w:cs="Tahoma"/>
                <w:sz w:val="20"/>
                <w:szCs w:val="20"/>
              </w:rPr>
              <w:t>Lub oprogramowanie równoważne</w:t>
            </w:r>
            <w:r w:rsidR="00E35BD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35BD3" w:rsidRPr="00E35BD3" w:rsidRDefault="00E35BD3" w:rsidP="00E35BD3">
            <w:pPr>
              <w:pStyle w:val="Akapitzlist"/>
              <w:numPr>
                <w:ilvl w:val="0"/>
                <w:numId w:val="15"/>
              </w:numPr>
              <w:ind w:left="301" w:hanging="28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95184B" w:rsidRPr="00E35BD3">
              <w:rPr>
                <w:rFonts w:ascii="Tahoma" w:hAnsi="Tahoma" w:cs="Tahoma"/>
                <w:sz w:val="20"/>
                <w:szCs w:val="20"/>
              </w:rPr>
              <w:t xml:space="preserve">apewniające ochronę stanu dysku twardego </w:t>
            </w:r>
            <w:r>
              <w:rPr>
                <w:rFonts w:ascii="Tahoma" w:hAnsi="Tahoma" w:cs="Tahoma"/>
                <w:sz w:val="20"/>
                <w:szCs w:val="20"/>
              </w:rPr>
              <w:t>przed nieautoryzowanymi zmianam</w:t>
            </w:r>
            <w:r w:rsidR="00A62AE3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35BD3" w:rsidRPr="00E35BD3" w:rsidRDefault="00E35BD3" w:rsidP="00E35BD3">
            <w:pPr>
              <w:pStyle w:val="Akapitzlist"/>
              <w:numPr>
                <w:ilvl w:val="0"/>
                <w:numId w:val="15"/>
              </w:numPr>
              <w:ind w:left="301" w:hanging="28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35BD3">
              <w:rPr>
                <w:rFonts w:ascii="Tahoma" w:hAnsi="Tahoma" w:cs="Tahoma"/>
                <w:sz w:val="20"/>
                <w:szCs w:val="20"/>
              </w:rPr>
              <w:t>rzystosowane do pracy w publicznych punktach obsługi</w:t>
            </w:r>
            <w:r w:rsidR="0095184B" w:rsidRPr="00E35BD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35BD3" w:rsidRPr="00E35BD3" w:rsidRDefault="00A62AE3" w:rsidP="00E35BD3">
            <w:pPr>
              <w:pStyle w:val="Akapitzlist"/>
              <w:numPr>
                <w:ilvl w:val="0"/>
                <w:numId w:val="15"/>
              </w:numPr>
              <w:ind w:left="301" w:hanging="28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Zapewniające </w:t>
            </w:r>
            <w:r w:rsidRPr="00E35BD3">
              <w:rPr>
                <w:rFonts w:ascii="Tahoma" w:hAnsi="Tahoma" w:cs="Tahoma"/>
                <w:sz w:val="20"/>
                <w:szCs w:val="20"/>
              </w:rPr>
              <w:t>automatycznie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95184B" w:rsidRPr="00E35BD3">
              <w:rPr>
                <w:rFonts w:ascii="Tahoma" w:hAnsi="Tahoma" w:cs="Tahoma"/>
                <w:sz w:val="20"/>
                <w:szCs w:val="20"/>
              </w:rPr>
              <w:t xml:space="preserve">rzywracanie stanu przy </w:t>
            </w:r>
            <w:r w:rsidR="00582C7A" w:rsidRPr="00E35BD3">
              <w:rPr>
                <w:rFonts w:ascii="Tahoma" w:hAnsi="Tahoma" w:cs="Tahoma"/>
                <w:sz w:val="20"/>
                <w:szCs w:val="20"/>
              </w:rPr>
              <w:t>ponownym uruchomieniu</w:t>
            </w:r>
            <w:r w:rsidR="0095184B" w:rsidRPr="00E35BD3">
              <w:rPr>
                <w:rFonts w:ascii="Tahoma" w:hAnsi="Tahoma" w:cs="Tahoma"/>
                <w:sz w:val="20"/>
                <w:szCs w:val="20"/>
              </w:rPr>
              <w:t xml:space="preserve"> komputera, wylogowaniu użytkownika oraz co określony czas. </w:t>
            </w:r>
          </w:p>
          <w:p w:rsidR="00E35BD3" w:rsidRPr="00E35BD3" w:rsidRDefault="00A62AE3" w:rsidP="00E35BD3">
            <w:pPr>
              <w:pStyle w:val="Akapitzlist"/>
              <w:numPr>
                <w:ilvl w:val="0"/>
                <w:numId w:val="15"/>
              </w:numPr>
              <w:ind w:left="301" w:hanging="28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95184B" w:rsidRPr="00E35BD3">
              <w:rPr>
                <w:rFonts w:ascii="Tahoma" w:hAnsi="Tahoma" w:cs="Tahoma"/>
                <w:sz w:val="20"/>
                <w:szCs w:val="20"/>
              </w:rPr>
              <w:t>możl</w:t>
            </w:r>
            <w:r>
              <w:rPr>
                <w:rFonts w:ascii="Tahoma" w:hAnsi="Tahoma" w:cs="Tahoma"/>
                <w:sz w:val="20"/>
                <w:szCs w:val="20"/>
              </w:rPr>
              <w:t>iwiające</w:t>
            </w:r>
            <w:r w:rsidR="0095184B" w:rsidRPr="00E35BD3">
              <w:rPr>
                <w:rFonts w:ascii="Tahoma" w:hAnsi="Tahoma" w:cs="Tahoma"/>
                <w:sz w:val="20"/>
                <w:szCs w:val="20"/>
              </w:rPr>
              <w:t xml:space="preserve"> zdefiniowanie okna serwisowego w czasie którego komputer będzie mógł pobrać aktualizację dla systemu Windows </w:t>
            </w:r>
            <w:r w:rsidR="00E35BD3" w:rsidRPr="00E35BD3">
              <w:rPr>
                <w:rFonts w:ascii="Tahoma" w:hAnsi="Tahoma" w:cs="Tahoma"/>
                <w:sz w:val="20"/>
                <w:szCs w:val="20"/>
              </w:rPr>
              <w:t>i oprogramowania antywirusowego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5184B" w:rsidRPr="00E35BD3" w:rsidRDefault="00A62AE3" w:rsidP="00E35BD3">
            <w:pPr>
              <w:pStyle w:val="Akapitzlist"/>
              <w:numPr>
                <w:ilvl w:val="0"/>
                <w:numId w:val="15"/>
              </w:numPr>
              <w:ind w:left="301" w:hanging="28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E35BD3" w:rsidRPr="00E35BD3">
              <w:rPr>
                <w:rFonts w:ascii="Tahoma" w:hAnsi="Tahoma" w:cs="Tahoma"/>
                <w:sz w:val="20"/>
                <w:szCs w:val="20"/>
              </w:rPr>
              <w:t>osiada</w:t>
            </w:r>
            <w:r>
              <w:rPr>
                <w:rFonts w:ascii="Tahoma" w:hAnsi="Tahoma" w:cs="Tahoma"/>
                <w:sz w:val="20"/>
                <w:szCs w:val="20"/>
              </w:rPr>
              <w:t>jące</w:t>
            </w:r>
            <w:r w:rsidR="00E35BD3" w:rsidRPr="00E35BD3">
              <w:rPr>
                <w:rFonts w:ascii="Tahoma" w:hAnsi="Tahoma" w:cs="Tahoma"/>
                <w:sz w:val="20"/>
                <w:szCs w:val="20"/>
              </w:rPr>
              <w:t xml:space="preserve"> możliwość zarządzania oprogramowaniem przez sieć LAN. </w:t>
            </w:r>
          </w:p>
          <w:p w:rsidR="00E35BD3" w:rsidRPr="00ED5C2B" w:rsidRDefault="00E35BD3" w:rsidP="00A62AE3">
            <w:pPr>
              <w:pStyle w:val="Akapitzlist"/>
              <w:numPr>
                <w:ilvl w:val="0"/>
                <w:numId w:val="15"/>
              </w:numPr>
              <w:ind w:left="301" w:hanging="284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Wykorzyst</w:t>
            </w:r>
            <w:r w:rsidR="00A62AE3">
              <w:rPr>
                <w:rFonts w:ascii="Tahoma" w:hAnsi="Tahoma" w:cs="Tahoma"/>
                <w:sz w:val="20"/>
                <w:szCs w:val="20"/>
              </w:rPr>
              <w:t>ujące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algorytm AES256 do szyfrowania danych.</w:t>
            </w:r>
          </w:p>
        </w:tc>
      </w:tr>
      <w:tr w:rsidR="00B23BE3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E3" w:rsidRPr="00ED5C2B" w:rsidRDefault="00B23BE3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E3" w:rsidRPr="00ED5C2B" w:rsidRDefault="00B23BE3" w:rsidP="0095184B">
            <w:pPr>
              <w:tabs>
                <w:tab w:val="left" w:pos="9161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Pozostałe wymagania: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184B">
              <w:rPr>
                <w:rFonts w:ascii="Tahoma" w:hAnsi="Tahoma" w:cs="Tahoma"/>
                <w:sz w:val="20"/>
                <w:szCs w:val="20"/>
              </w:rPr>
              <w:t>Obsługa systemów Windows 7 Pro, Windows 10 Pro.</w:t>
            </w:r>
          </w:p>
        </w:tc>
      </w:tr>
      <w:tr w:rsidR="00B23BE3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E3" w:rsidRPr="00ED5C2B" w:rsidRDefault="00B23BE3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E3" w:rsidRPr="00ED5C2B" w:rsidRDefault="00CB3EF7" w:rsidP="0095184B">
            <w:pPr>
              <w:ind w:left="17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</w:t>
            </w:r>
            <w:r w:rsidR="00B23BE3"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licencjonowania: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bezterminowy</w:t>
            </w:r>
            <w:r w:rsidR="00B23BE3"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3542E7" w:rsidRDefault="003542E7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p w:rsidR="00B23BE3" w:rsidRPr="00ED5C2B" w:rsidRDefault="00B23BE3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95184B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2B507A">
            <w:pPr>
              <w:ind w:left="851" w:hanging="85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B23BE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>Oprogramowanie do przeprowadzania audytu stacji roboczych i kontroli działań użytkowników na stacjach roboczych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2B507A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0A31D5"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wsparcia technicznego i prawa do aktualizacji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Statlook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na okres 1 roku (asysta serwisowa) dla </w:t>
            </w:r>
            <w:r>
              <w:rPr>
                <w:rFonts w:ascii="Tahoma" w:hAnsi="Tahoma" w:cs="Tahoma"/>
                <w:sz w:val="20"/>
                <w:szCs w:val="20"/>
              </w:rPr>
              <w:t>270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agentów i </w:t>
            </w:r>
            <w:r w:rsidR="002B507A">
              <w:rPr>
                <w:rFonts w:ascii="Tahoma" w:hAnsi="Tahoma" w:cs="Tahoma"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 konsol zarządzania wraz ze zwiększeniem liczby </w:t>
            </w:r>
            <w:r>
              <w:rPr>
                <w:rFonts w:ascii="Tahoma" w:hAnsi="Tahoma" w:cs="Tahoma"/>
                <w:sz w:val="20"/>
                <w:szCs w:val="20"/>
              </w:rPr>
              <w:t xml:space="preserve">równocześnie użytkowanych konsol do </w:t>
            </w:r>
            <w:r w:rsidR="002B507A">
              <w:rPr>
                <w:rFonts w:ascii="Tahoma" w:hAnsi="Tahoma" w:cs="Tahoma"/>
                <w:sz w:val="20"/>
                <w:szCs w:val="20"/>
              </w:rPr>
              <w:t>5 i zwiększeniem liczby agentów do łącznie 290</w:t>
            </w:r>
          </w:p>
          <w:p w:rsidR="00591DD0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507A">
              <w:rPr>
                <w:rFonts w:ascii="Tahoma" w:hAnsi="Tahoma" w:cs="Tahoma"/>
                <w:sz w:val="20"/>
                <w:szCs w:val="20"/>
              </w:rPr>
              <w:t xml:space="preserve">lub oprogramowanie równoważne o funkcjonalności umożliwiającej w szczególności: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przeprowadzanie audytu oprogramowania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zainstalowanego i przechowywanego na komputerach pracowników,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przeprowadzenie audytu plików multimedialnych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przechowywanych na komputerach pracowników,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 xml:space="preserve">przeprowadzanie audytu sprzętu, monitoring zmian w konfiguracji komputerów w zakresie zmian w sprzęcie, jak i w oprogramowaniu,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monitoring pracy pracowników w zakresie czasu wykorzystania poszczególnych aplikacji, ze szczególnym uwzględnieniem czasu przeglądania Internetu oraz wskazaniem odwiedzanych stron przez pracowników (statystyka musi być pobierana minimum z przeglądarek: IE,</w:t>
            </w:r>
            <w:r w:rsidR="00591DD0" w:rsidRPr="00591DD0">
              <w:rPr>
                <w:rFonts w:ascii="Tahoma" w:hAnsi="Tahoma" w:cs="Tahoma"/>
                <w:sz w:val="20"/>
                <w:szCs w:val="20"/>
              </w:rPr>
              <w:t xml:space="preserve"> Edge,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91DD0">
              <w:rPr>
                <w:rFonts w:ascii="Tahoma" w:hAnsi="Tahoma" w:cs="Tahoma"/>
                <w:sz w:val="20"/>
                <w:szCs w:val="20"/>
              </w:rPr>
              <w:t>Firefox</w:t>
            </w:r>
            <w:proofErr w:type="spellEnd"/>
            <w:r w:rsidRPr="00591DD0">
              <w:rPr>
                <w:rFonts w:ascii="Tahoma" w:hAnsi="Tahoma" w:cs="Tahoma"/>
                <w:sz w:val="20"/>
                <w:szCs w:val="20"/>
              </w:rPr>
              <w:t xml:space="preserve">, Chrome),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monitoring i raportowanie wydruków wraz z informacją o</w:t>
            </w:r>
            <w:r w:rsidR="00591DD0" w:rsidRPr="00591DD0">
              <w:rPr>
                <w:rFonts w:ascii="Tahoma" w:hAnsi="Tahoma" w:cs="Tahoma"/>
                <w:sz w:val="20"/>
                <w:szCs w:val="20"/>
              </w:rPr>
              <w:t> 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tytułach wydruków i liczbie wydrukowanych stron,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 xml:space="preserve">monitoring i raportowanie użycia nośników wymiennych wraz z informacją, jakie pliki zostały otworzone/zapisane,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 xml:space="preserve">możliwość blokowania nośników wymiennych, możliwość blokowania nośników wymiennych w tryb tylko do odczytu,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 xml:space="preserve">moduł </w:t>
            </w:r>
            <w:proofErr w:type="spellStart"/>
            <w:r w:rsidRPr="00591DD0">
              <w:rPr>
                <w:rFonts w:ascii="Tahoma" w:hAnsi="Tahoma" w:cs="Tahoma"/>
                <w:sz w:val="20"/>
                <w:szCs w:val="20"/>
              </w:rPr>
              <w:t>help-desk’u</w:t>
            </w:r>
            <w:proofErr w:type="spellEnd"/>
            <w:r w:rsidRPr="00591DD0">
              <w:rPr>
                <w:rFonts w:ascii="Tahoma" w:hAnsi="Tahoma" w:cs="Tahoma"/>
                <w:sz w:val="20"/>
                <w:szCs w:val="20"/>
              </w:rPr>
              <w:t xml:space="preserve"> umożliwiający zgłaszanie przez pracowników problemów i obsługę zgłaszanych problemów przez pracowników obsługi technicznej,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moduł raportowania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obejmujący wszelkie aspekty związane z audytami oprogramowania, bieżącą konfiguracją monitorowanych komputerów (sprzętową i programową) oraz prowadzeniem ewidencji posiadanego majątku w zakresie sprzętu i oprogramowania,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moduł umożliwiający rejestrowanie posiadanych licencji na oprogramowanie i korelowanie ich ręczne oraz automatyczne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z wynikami przeprowadzonych audytów.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Funkcjonalność audytu oprogramowania musi wspierać administratora w ocenie stanu legalności zainstalowanego oprogramowania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poprzez rozróżnienie programów komercyjnych od programów, które mogą być użytkowane bez opłat, moduł audytu oprogramowania musi uwzględniać części składowe</w:t>
            </w:r>
            <w:r w:rsidR="003F4168" w:rsidRPr="00591DD0">
              <w:rPr>
                <w:rFonts w:ascii="Tahoma" w:hAnsi="Tahoma" w:cs="Tahoma"/>
                <w:sz w:val="20"/>
                <w:szCs w:val="20"/>
              </w:rPr>
              <w:t>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wchodzące w skład danego pakietu oprogramowania i raportować je w postaci jednego wpisu. </w:t>
            </w:r>
          </w:p>
          <w:p w:rsidR="00591DD0" w:rsidRDefault="000A31D5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>Moduł pomocy zdalnej, gdzie informatyk ze swojej konsoli może się podłączyć do pulpitu pracownika zgłaszającego problem i dokonywać zdalnej diagnozy wraz z możliwością pobierania informacji o działających</w:t>
            </w:r>
            <w:r w:rsidR="00801233">
              <w:rPr>
                <w:rFonts w:ascii="Tahoma" w:hAnsi="Tahoma" w:cs="Tahoma"/>
                <w:sz w:val="20"/>
                <w:szCs w:val="20"/>
              </w:rPr>
              <w:t xml:space="preserve"> procesach w systemie zdalnym,</w:t>
            </w:r>
            <w:r w:rsidRPr="00591DD0">
              <w:rPr>
                <w:rFonts w:ascii="Tahoma" w:hAnsi="Tahoma" w:cs="Tahoma"/>
                <w:sz w:val="20"/>
                <w:szCs w:val="20"/>
              </w:rPr>
              <w:t xml:space="preserve"> edycji rejestru systemu zdalnego</w:t>
            </w:r>
            <w:r w:rsidR="00801233">
              <w:rPr>
                <w:rFonts w:ascii="Tahoma" w:hAnsi="Tahoma" w:cs="Tahoma"/>
                <w:sz w:val="20"/>
                <w:szCs w:val="20"/>
              </w:rPr>
              <w:t>, pobierania i zapisywania plików na zdalny komputer</w:t>
            </w:r>
            <w:r w:rsidRPr="00591DD0">
              <w:rPr>
                <w:rFonts w:ascii="Tahoma" w:hAnsi="Tahoma" w:cs="Tahoma"/>
                <w:sz w:val="20"/>
                <w:szCs w:val="20"/>
              </w:rPr>
              <w:t>.</w:t>
            </w:r>
            <w:r w:rsidR="0045317B" w:rsidRPr="00591DD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31D5" w:rsidRDefault="0045317B" w:rsidP="00801233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91DD0">
              <w:rPr>
                <w:rFonts w:ascii="Tahoma" w:hAnsi="Tahoma" w:cs="Tahoma"/>
                <w:sz w:val="20"/>
                <w:szCs w:val="20"/>
              </w:rPr>
              <w:t xml:space="preserve">Moduł wspomagający zarządzanie zgodnością organizacji z wymaganiami określonymi w RODO umożliwiający w szczególności rejestrowanie zbiorów, dostępów do zbiorów, naruszeń bezpieczeństwa przetwarzania informacji, prośby o usunięcie danych ze zbioru, rejestr czynności przetwarzania, rejestr szkoleń związanych z przetwarzaniem danych osobowych. </w:t>
            </w:r>
          </w:p>
          <w:p w:rsidR="000A31D5" w:rsidRDefault="000A31D5" w:rsidP="0095184B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1233">
              <w:rPr>
                <w:rFonts w:ascii="Tahoma" w:hAnsi="Tahoma" w:cs="Tahoma"/>
                <w:sz w:val="20"/>
                <w:szCs w:val="20"/>
              </w:rPr>
              <w:t>Komunikacja pomiędzy agentem a serwerem musi być odpowiednio zabezpieczona przed podsłuchem i przejęciem przez obcy serwer.</w:t>
            </w:r>
          </w:p>
          <w:p w:rsidR="000A31D5" w:rsidRDefault="000A31D5" w:rsidP="0095184B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1233">
              <w:rPr>
                <w:rFonts w:ascii="Tahoma" w:hAnsi="Tahoma" w:cs="Tahoma"/>
                <w:sz w:val="20"/>
                <w:szCs w:val="20"/>
              </w:rPr>
              <w:t xml:space="preserve">Oprogramowanie równoważne musi wykorzystywać nielimitowane bazy danych dostępne bezpłatnie, takie jak </w:t>
            </w:r>
            <w:proofErr w:type="spellStart"/>
            <w:r w:rsidRPr="00801233">
              <w:rPr>
                <w:rFonts w:ascii="Tahoma" w:hAnsi="Tahoma" w:cs="Tahoma"/>
                <w:sz w:val="20"/>
                <w:szCs w:val="20"/>
              </w:rPr>
              <w:t>PostgreSQL</w:t>
            </w:r>
            <w:proofErr w:type="spellEnd"/>
            <w:r w:rsidRPr="0080123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801233" w:rsidRDefault="000A31D5" w:rsidP="0045317B">
            <w:pPr>
              <w:pStyle w:val="Akapitzlist"/>
              <w:numPr>
                <w:ilvl w:val="0"/>
                <w:numId w:val="14"/>
              </w:num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1233">
              <w:rPr>
                <w:rFonts w:ascii="Tahoma" w:hAnsi="Tahoma" w:cs="Tahoma"/>
                <w:sz w:val="20"/>
                <w:szCs w:val="20"/>
              </w:rPr>
              <w:t>Oprogramowanie równoważne musi umożliwiać obsługę minimum 2</w:t>
            </w:r>
            <w:r w:rsidR="0045317B" w:rsidRPr="00801233">
              <w:rPr>
                <w:rFonts w:ascii="Tahoma" w:hAnsi="Tahoma" w:cs="Tahoma"/>
                <w:sz w:val="20"/>
                <w:szCs w:val="20"/>
              </w:rPr>
              <w:t>9</w:t>
            </w:r>
            <w:r w:rsidRPr="00801233">
              <w:rPr>
                <w:rFonts w:ascii="Tahoma" w:hAnsi="Tahoma" w:cs="Tahoma"/>
                <w:sz w:val="20"/>
                <w:szCs w:val="20"/>
              </w:rPr>
              <w:t xml:space="preserve">0 stacji roboczych i co najmniej </w:t>
            </w:r>
            <w:r w:rsidR="0045317B" w:rsidRPr="00801233">
              <w:rPr>
                <w:rFonts w:ascii="Tahoma" w:hAnsi="Tahoma" w:cs="Tahoma"/>
                <w:sz w:val="20"/>
                <w:szCs w:val="20"/>
              </w:rPr>
              <w:t>5</w:t>
            </w:r>
            <w:r w:rsidRPr="00801233">
              <w:rPr>
                <w:rFonts w:ascii="Tahoma" w:hAnsi="Tahoma" w:cs="Tahoma"/>
                <w:sz w:val="20"/>
                <w:szCs w:val="20"/>
              </w:rPr>
              <w:t xml:space="preserve"> konsol</w:t>
            </w:r>
            <w:r w:rsidR="0045317B" w:rsidRPr="00801233">
              <w:rPr>
                <w:rFonts w:ascii="Tahoma" w:hAnsi="Tahoma" w:cs="Tahoma"/>
                <w:sz w:val="20"/>
                <w:szCs w:val="20"/>
              </w:rPr>
              <w:t>i</w:t>
            </w:r>
            <w:r w:rsidRPr="00801233">
              <w:rPr>
                <w:rFonts w:ascii="Tahoma" w:hAnsi="Tahoma" w:cs="Tahoma"/>
                <w:sz w:val="20"/>
                <w:szCs w:val="20"/>
              </w:rPr>
              <w:t xml:space="preserve"> zarządzania wraz z prawem do instalacji aktualizacji i wsparciem przez okres minimum jednego roku.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Obsługiwane systemy operacyjne: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minimum </w:t>
            </w:r>
            <w:r>
              <w:rPr>
                <w:rFonts w:ascii="Tahoma" w:hAnsi="Tahoma" w:cs="Tahoma"/>
                <w:sz w:val="20"/>
                <w:szCs w:val="20"/>
              </w:rPr>
              <w:t>Windows 7, Windows </w:t>
            </w:r>
            <w:r w:rsidRPr="00ED5C2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wersji 32 i 64 bitowej oraz </w:t>
            </w: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Windows 2012 R2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Windows 2016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95184B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80123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B23BE3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Oprogramowanie serwerowe – obsługujące wirtualizację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2 komplety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A648DE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0A31D5"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wsparcia technicznego na poziomie co najmniej podstawowym i prawa do aktualizacji na okres 1 roku dla dwóch kompletów posiadanego przez Zamawiającego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dającego prawo do jego instalacji na 3 serwerach wyposażonych w 2 wielordzeniowe procesory fizyczne każdy. Przedłużenie do pierwszego kompletu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  należy dostarczyć w terminie do 4 grudnia 201</w:t>
            </w:r>
            <w:r w:rsidR="00CB719A">
              <w:rPr>
                <w:rFonts w:ascii="Tahoma" w:hAnsi="Tahoma" w:cs="Tahoma"/>
                <w:sz w:val="20"/>
                <w:szCs w:val="20"/>
              </w:rPr>
              <w:t>8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tak, aby przedłużyć posiadane przez Zamawiającego wsparcie, przedłużenie do drugiego kompletu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  należy dostarczyć w terminie do 10 grudnia 201</w:t>
            </w:r>
            <w:r w:rsidR="00CB719A">
              <w:rPr>
                <w:rFonts w:ascii="Tahoma" w:hAnsi="Tahoma" w:cs="Tahoma"/>
                <w:sz w:val="20"/>
                <w:szCs w:val="20"/>
              </w:rPr>
              <w:t>8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tak, aby przedłużyć posiadane przez Zamawiającego wsparcie</w:t>
            </w:r>
            <w:r w:rsidR="00A648D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A648DE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48DE">
              <w:rPr>
                <w:rFonts w:ascii="Tahoma" w:hAnsi="Tahoma" w:cs="Tahoma"/>
                <w:sz w:val="20"/>
                <w:szCs w:val="20"/>
                <w:u w:val="single"/>
              </w:rPr>
              <w:t>L</w:t>
            </w:r>
            <w:r w:rsidR="000A31D5" w:rsidRPr="00A648DE">
              <w:rPr>
                <w:rFonts w:ascii="Tahoma" w:hAnsi="Tahoma" w:cs="Tahoma"/>
                <w:sz w:val="20"/>
                <w:szCs w:val="20"/>
                <w:u w:val="single"/>
              </w:rPr>
              <w:t>ub oprogramowanie równoważne</w:t>
            </w:r>
            <w:r w:rsidR="000A31D5" w:rsidRPr="00A648DE">
              <w:rPr>
                <w:rFonts w:ascii="Tahoma" w:hAnsi="Tahoma" w:cs="Tahoma"/>
                <w:sz w:val="20"/>
                <w:szCs w:val="20"/>
              </w:rPr>
              <w:t xml:space="preserve"> dające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prawo do jego instalacji na minimum 6 serwerach fizycznych, obsługujące co najmniej 2 wielordzeniowe procesory fizyczne na każdym serwerze, </w:t>
            </w:r>
            <w:r w:rsidR="00CB719A">
              <w:rPr>
                <w:rFonts w:ascii="Tahoma" w:hAnsi="Tahoma" w:cs="Tahoma"/>
                <w:sz w:val="20"/>
                <w:szCs w:val="20"/>
              </w:rPr>
              <w:t>z obsługą minimum 256 rdzeni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CB719A">
              <w:rPr>
                <w:rFonts w:ascii="Tahoma" w:hAnsi="Tahoma" w:cs="Tahoma"/>
                <w:sz w:val="20"/>
                <w:szCs w:val="20"/>
              </w:rPr>
              <w:t xml:space="preserve"> obsługą minimum 1TB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pamięci RAM </w:t>
            </w:r>
            <w:r w:rsidR="00CB719A">
              <w:rPr>
                <w:rFonts w:ascii="Tahoma" w:hAnsi="Tahoma" w:cs="Tahoma"/>
                <w:sz w:val="20"/>
                <w:szCs w:val="20"/>
              </w:rPr>
              <w:t xml:space="preserve">zainstalowanej w każdym z 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serwerów, umożliwiające </w:t>
            </w:r>
            <w:r w:rsidR="00CB719A">
              <w:rPr>
                <w:rFonts w:ascii="Tahoma" w:hAnsi="Tahoma" w:cs="Tahoma"/>
                <w:sz w:val="20"/>
                <w:szCs w:val="20"/>
              </w:rPr>
              <w:t>przypisanie co najmniej 32 procesorów i 128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GB pamięci RAM do każdej maszyny wirtualnej wykreowanej w tym oprogramowaniu, z możliwością obsługi co najmniej </w:t>
            </w:r>
            <w:r w:rsidR="00CB719A">
              <w:rPr>
                <w:rFonts w:ascii="Tahoma" w:hAnsi="Tahoma" w:cs="Tahoma"/>
                <w:sz w:val="20"/>
                <w:szCs w:val="20"/>
              </w:rPr>
              <w:t>6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>0 maszyn wirtualnych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w miarę dostępnych zasobów serwera fizycznego, umożliwiające bezpośrednie podłączenie urządzenia serwera fizycznego (</w:t>
            </w:r>
            <w:r w:rsidR="00CB719A">
              <w:rPr>
                <w:rFonts w:ascii="Tahoma" w:hAnsi="Tahoma" w:cs="Tahoma"/>
                <w:sz w:val="20"/>
                <w:szCs w:val="20"/>
              </w:rPr>
              <w:t>karty SAS</w:t>
            </w:r>
            <w:r w:rsidR="000A31D5">
              <w:rPr>
                <w:rFonts w:ascii="Tahoma" w:hAnsi="Tahoma" w:cs="Tahoma"/>
                <w:sz w:val="20"/>
                <w:szCs w:val="20"/>
              </w:rPr>
              <w:t>, napęd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taśm</w:t>
            </w:r>
            <w:r w:rsidR="00CB719A">
              <w:rPr>
                <w:rFonts w:ascii="Tahoma" w:hAnsi="Tahoma" w:cs="Tahoma"/>
                <w:sz w:val="20"/>
                <w:szCs w:val="20"/>
              </w:rPr>
              <w:t>owego podłączonego do karty SAS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w serwerze fizycznym</w:t>
            </w:r>
            <w:r w:rsidR="000A31D5">
              <w:rPr>
                <w:rFonts w:ascii="Tahoma" w:hAnsi="Tahoma" w:cs="Tahoma"/>
                <w:sz w:val="20"/>
                <w:szCs w:val="20"/>
              </w:rPr>
              <w:t>, port szeregowy serwera fizycznego, port USB serwera fizycznego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>) do wykreowanej maszyny wirtualnej, tak aby ta maszyna sterowała urządzeniem w</w:t>
            </w:r>
            <w:r w:rsidR="000A31D5">
              <w:rPr>
                <w:rFonts w:ascii="Tahoma" w:hAnsi="Tahoma" w:cs="Tahoma"/>
                <w:sz w:val="20"/>
                <w:szCs w:val="20"/>
              </w:rPr>
              <w:t> 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>sposób wyłączny i bezpośrednio</w:t>
            </w:r>
            <w:r w:rsidR="000A31D5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za pośrednictwem właściwych sterowników dla ww. urządzenia</w:t>
            </w:r>
            <w:r w:rsidR="000A31D5">
              <w:rPr>
                <w:rFonts w:ascii="Tahoma" w:hAnsi="Tahoma" w:cs="Tahoma"/>
                <w:sz w:val="20"/>
                <w:szCs w:val="20"/>
              </w:rPr>
              <w:t>.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31D5">
              <w:rPr>
                <w:rFonts w:ascii="Tahoma" w:hAnsi="Tahoma" w:cs="Tahoma"/>
                <w:sz w:val="20"/>
                <w:szCs w:val="20"/>
              </w:rPr>
              <w:t>Z 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>prawem do aktualizacji tego oprogramowania w okresie minimum 1 roku od daty udzielenia licencji Zamawiającemu do najnowszych wersji oprogramowania, gdy taka wersja zostanie opublikowana oraz prawem do wsparcia</w:t>
            </w:r>
            <w:r w:rsidR="000A31D5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w okresie 1 roku</w:t>
            </w:r>
            <w:r w:rsidR="000A31D5">
              <w:rPr>
                <w:rFonts w:ascii="Tahoma" w:hAnsi="Tahoma" w:cs="Tahoma"/>
                <w:sz w:val="20"/>
                <w:szCs w:val="20"/>
              </w:rPr>
              <w:t>,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od daty udzielenia licencji Zamawiającemu. Oprogramowanie równoważne musi zapewniać podobną wydajność pracy wykreowanych na nim maszyn wirtualnych</w:t>
            </w:r>
            <w:r w:rsidR="000A31D5">
              <w:rPr>
                <w:rFonts w:ascii="Tahoma" w:hAnsi="Tahoma" w:cs="Tahoma"/>
                <w:sz w:val="20"/>
                <w:szCs w:val="20"/>
              </w:rPr>
              <w:t xml:space="preserve"> zarówno w zakresie IOPS systemu dyskowego, wydajności procesora jak i przepustowości pamięci RAM</w:t>
            </w:r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. Oprogramowanie równoważne musi posiadać system centralnego zarządzania poszczególnymi instancjami zainstalowanymi na serwerach fizycznych w ramach licencji. Oprogramowanie równoważne musi zapewniać możliwość migracji maszyn wirtualnych pomiędzy serwerami fizycznymi w trakcie ich pracy oraz offline. Oprogramowanie równoważne musi zapewniać wsparcie dla maszyn wirtualnych wykorzystujących co najmniej następujące systemy operacyjne: Windows, Linux, </w:t>
            </w:r>
            <w:proofErr w:type="spellStart"/>
            <w:r w:rsidR="000A31D5" w:rsidRPr="00ED5C2B">
              <w:rPr>
                <w:rFonts w:ascii="Tahoma" w:hAnsi="Tahoma" w:cs="Tahoma"/>
                <w:sz w:val="20"/>
                <w:szCs w:val="20"/>
              </w:rPr>
              <w:t>UnixWare</w:t>
            </w:r>
            <w:proofErr w:type="spellEnd"/>
            <w:r w:rsidR="000A31D5" w:rsidRPr="00ED5C2B">
              <w:rPr>
                <w:rFonts w:ascii="Tahoma" w:hAnsi="Tahoma" w:cs="Tahoma"/>
                <w:sz w:val="20"/>
                <w:szCs w:val="20"/>
              </w:rPr>
              <w:t xml:space="preserve"> 7.1.4.</w:t>
            </w:r>
          </w:p>
          <w:p w:rsidR="000A31D5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 przypadku dostarczenia oprogramowania równoważnego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należy zapewnić odpowiednie szkolenia dla administratorów z zakresu obsługi i eksploatacji tego oprogramowania oraz migrację środowiska wirtualnego opartego na oprogramowaniu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 na nowe oprogramowanie.</w:t>
            </w:r>
          </w:p>
          <w:p w:rsidR="00A648DE" w:rsidRPr="00ED5C2B" w:rsidRDefault="00A648DE" w:rsidP="00A648D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przypadku oprogramowania równoważnego należy dostarczyć odpowiednie oprogramowanie do wykonywania kopii zapasowych, o którym jest mowa w poz. 7. 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95184B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A648DE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B23BE3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A648DE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A648DE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Oprogramowanie do wykonywania kopii zapasowych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A648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95184B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9518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Default="000A31D5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co najmniej podstawowego wsparcia technicznego i prawa do aktualizacji w okresie 1 roku dla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Veeam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Backup and Replication Standard licencjonowane dla 6 procesorów dla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="00A648DE">
              <w:rPr>
                <w:rFonts w:ascii="Tahoma" w:hAnsi="Tahoma" w:cs="Tahoma"/>
                <w:sz w:val="20"/>
                <w:szCs w:val="20"/>
              </w:rPr>
              <w:t xml:space="preserve"> wraz ze zwiększeniem liczby licencjonowanych procesorów obsługiwanych przez oprogramowanie do łącznie 8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DA0E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48DE">
              <w:rPr>
                <w:rFonts w:ascii="Tahoma" w:hAnsi="Tahoma" w:cs="Tahoma"/>
                <w:sz w:val="20"/>
                <w:szCs w:val="20"/>
                <w:u w:val="single"/>
              </w:rPr>
              <w:t>Lub oprogramowanie równoważne</w:t>
            </w:r>
            <w:r w:rsidRPr="00A648DE">
              <w:rPr>
                <w:rFonts w:ascii="Tahoma" w:hAnsi="Tahoma" w:cs="Tahoma"/>
                <w:sz w:val="20"/>
                <w:szCs w:val="20"/>
              </w:rPr>
              <w:t xml:space="preserve"> zapewniające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możliwość wykonywania kopii zapasowych maszyn wirtualnych pracujących na serwerze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lub na oprogra</w:t>
            </w:r>
            <w:r>
              <w:rPr>
                <w:rFonts w:ascii="Tahoma" w:hAnsi="Tahoma" w:cs="Tahoma"/>
                <w:sz w:val="20"/>
                <w:szCs w:val="20"/>
              </w:rPr>
              <w:t>mowaniu, o którym mowa w</w:t>
            </w:r>
            <w:r w:rsidR="00A648DE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poz. </w:t>
            </w:r>
            <w:r w:rsidR="00A648D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przypadku dos</w:t>
            </w:r>
            <w:r>
              <w:rPr>
                <w:rFonts w:ascii="Tahoma" w:hAnsi="Tahoma" w:cs="Tahoma"/>
                <w:sz w:val="20"/>
                <w:szCs w:val="20"/>
              </w:rPr>
              <w:t>tarczania produktu równoważnego,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 którym tam mowa, zapewniające co najmniej następujące możliwości: wykonywanie kopii zapasowych maszyn wirtualnych bez konieczności instalowania na tych maszynach agenta,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wykonywanie kopii zapasowych aplikacji zainstalowanych na maszynach wirtualnych Windows AD, MS SQL, Exchange w sposób w pełni </w:t>
            </w:r>
            <w:proofErr w:type="spellStart"/>
            <w:r w:rsidR="00A648DE">
              <w:rPr>
                <w:rFonts w:ascii="Tahoma" w:hAnsi="Tahoma" w:cs="Tahoma"/>
                <w:sz w:val="20"/>
                <w:szCs w:val="20"/>
              </w:rPr>
              <w:t>konsystentny</w:t>
            </w:r>
            <w:proofErr w:type="spellEnd"/>
            <w:r w:rsidR="00A648DE">
              <w:rPr>
                <w:rFonts w:ascii="Tahoma" w:hAnsi="Tahoma" w:cs="Tahoma"/>
                <w:sz w:val="20"/>
                <w:szCs w:val="20"/>
              </w:rPr>
              <w:t xml:space="preserve"> z możliwością zarządzania logami transakcyjnymi tych aplikacji,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wykonywanie kopii </w:t>
            </w:r>
            <w:r w:rsidR="008B2E8A">
              <w:rPr>
                <w:rFonts w:ascii="Tahoma" w:hAnsi="Tahoma" w:cs="Tahoma"/>
                <w:sz w:val="20"/>
                <w:szCs w:val="20"/>
              </w:rPr>
              <w:t>zapasowych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w trybie całościowym </w:t>
            </w:r>
            <w:r w:rsidR="00A648DE">
              <w:rPr>
                <w:rFonts w:ascii="Tahoma" w:hAnsi="Tahoma" w:cs="Tahoma"/>
                <w:sz w:val="20"/>
                <w:szCs w:val="20"/>
              </w:rPr>
              <w:lastRenderedPageBreak/>
              <w:t xml:space="preserve">i przyrostowym, możliwość tworzenia kopii całościowej w sposób </w:t>
            </w:r>
            <w:r w:rsidR="008B2E8A">
              <w:rPr>
                <w:rFonts w:ascii="Tahoma" w:hAnsi="Tahoma" w:cs="Tahoma"/>
                <w:sz w:val="20"/>
                <w:szCs w:val="20"/>
              </w:rPr>
              <w:t>syntetyczny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na podstawie kopii przyrostowych,</w:t>
            </w:r>
            <w:r w:rsidR="008B2E8A">
              <w:rPr>
                <w:rFonts w:ascii="Tahoma" w:hAnsi="Tahoma" w:cs="Tahoma"/>
                <w:sz w:val="20"/>
                <w:szCs w:val="20"/>
              </w:rPr>
              <w:t xml:space="preserve"> wykorzystywanie mechanizmu kompresji i </w:t>
            </w:r>
            <w:proofErr w:type="spellStart"/>
            <w:r w:rsidR="008B2E8A">
              <w:rPr>
                <w:rFonts w:ascii="Tahoma" w:hAnsi="Tahoma" w:cs="Tahoma"/>
                <w:sz w:val="20"/>
                <w:szCs w:val="20"/>
              </w:rPr>
              <w:t>deduplikacji</w:t>
            </w:r>
            <w:proofErr w:type="spellEnd"/>
            <w:r w:rsidR="008B2E8A">
              <w:rPr>
                <w:rFonts w:ascii="Tahoma" w:hAnsi="Tahoma" w:cs="Tahoma"/>
                <w:sz w:val="20"/>
                <w:szCs w:val="20"/>
              </w:rPr>
              <w:t xml:space="preserve"> do zmniejszenia ilości przechowywanych danych, obsługa trybu CBT,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wykonywanie kopii maszyn wirtualnych w trakcie ich pracy bez wpływu na ich pracę, jak i maszyn wyłączonych, replikacja maszyn wirtualnych na inny serwer fizyczny wyposażony w oprogramowanie do wirtualizacji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zgodnie z harmonogramem, możliwość praktycznie natychmiastowego odtworzenia maszyny </w:t>
            </w:r>
            <w:r w:rsidR="00A648DE">
              <w:rPr>
                <w:rFonts w:ascii="Tahoma" w:hAnsi="Tahoma" w:cs="Tahoma"/>
                <w:sz w:val="20"/>
                <w:szCs w:val="20"/>
              </w:rPr>
              <w:t xml:space="preserve"> wirtualnej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A648DE">
              <w:rPr>
                <w:rFonts w:ascii="Tahoma" w:hAnsi="Tahoma" w:cs="Tahoma"/>
                <w:sz w:val="20"/>
                <w:szCs w:val="20"/>
              </w:rPr>
              <w:t>kopii zapasowej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przy wykorzystaniu wystawianego przez oprogramowanie równoważne udziału sieciowego NFS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bazującego na kopii maszyny, obsługa napędów taśmowych LTO do wykonywania archiwizacji maszyn na taśmę, obsługa harmonogramów umożliwiających wykonywanie kopii zapasowych i replikacji danych w określonych odstępach czasowych, obsługa odtwarzania maszyn wirtualnych na</w:t>
            </w:r>
            <w:r w:rsidR="008B2E8A">
              <w:rPr>
                <w:rFonts w:ascii="Tahoma" w:hAnsi="Tahoma" w:cs="Tahoma"/>
                <w:sz w:val="20"/>
                <w:szCs w:val="20"/>
              </w:rPr>
              <w:t xml:space="preserve"> dotychczasowym serwerze, jak i </w:t>
            </w:r>
            <w:r w:rsidRPr="00ED5C2B">
              <w:rPr>
                <w:rFonts w:ascii="Tahoma" w:hAnsi="Tahoma" w:cs="Tahoma"/>
                <w:sz w:val="20"/>
                <w:szCs w:val="20"/>
              </w:rPr>
              <w:t>nowym serwerze wirtualizacji, obsługa odtwarzania pojedynczych plików maszyn wirtualnych opartych na systemach ope</w:t>
            </w:r>
            <w:r>
              <w:rPr>
                <w:rFonts w:ascii="Tahoma" w:hAnsi="Tahoma" w:cs="Tahoma"/>
                <w:sz w:val="20"/>
                <w:szCs w:val="20"/>
              </w:rPr>
              <w:t>racyjnych co najmniej Windows i 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Linux. Oprogramowanie równoważne musi posiadać prawo do aktualizacji i podstawowego wsparcia technicznego w okresie jednego roku od daty udzielenia licencji Zamawiającemu. Oprogramowanie równoważne musi zapewniać możliwość obsługi </w:t>
            </w:r>
            <w:r w:rsidR="00DA0EF0">
              <w:rPr>
                <w:rFonts w:ascii="Tahoma" w:hAnsi="Tahoma" w:cs="Tahoma"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serwerów fizycznych wyposażonych w 2 procesory każdy. Licencja oprogramowania równoważnego musi zapewniać możliwość dalszego zwiększenia ilości obsługiwanych serwerów poprzez zakup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D5C2B">
              <w:rPr>
                <w:rFonts w:ascii="Tahoma" w:hAnsi="Tahoma" w:cs="Tahoma"/>
                <w:sz w:val="20"/>
                <w:szCs w:val="20"/>
              </w:rPr>
              <w:t>dodanie przez Zamawiającego kolejnych licencji.</w:t>
            </w:r>
          </w:p>
        </w:tc>
      </w:tr>
    </w:tbl>
    <w:p w:rsidR="000A31D5" w:rsidRDefault="000A31D5" w:rsidP="000A31D5">
      <w:pPr>
        <w:ind w:left="5664" w:hanging="5664"/>
        <w:rPr>
          <w:rFonts w:ascii="Tahoma" w:hAnsi="Tahoma" w:cs="Tahoma"/>
          <w:b/>
          <w:color w:val="000000"/>
          <w:sz w:val="19"/>
          <w:szCs w:val="19"/>
        </w:rPr>
      </w:pPr>
    </w:p>
    <w:p w:rsidR="000A31D5" w:rsidRDefault="000A31D5" w:rsidP="000A31D5">
      <w:pPr>
        <w:ind w:left="5664" w:hanging="5664"/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324"/>
        <w:gridCol w:w="2977"/>
      </w:tblGrid>
      <w:tr w:rsidR="008C574F" w:rsidRPr="00ED5C2B" w:rsidTr="008C574F">
        <w:trPr>
          <w:trHeight w:val="402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Pr="00ED5C2B" w:rsidRDefault="008C574F" w:rsidP="008C574F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B23BE3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="00196B97">
              <w:rPr>
                <w:rFonts w:ascii="Tahoma" w:hAnsi="Tahoma" w:cs="Tahoma"/>
                <w:b/>
              </w:rPr>
              <w:t xml:space="preserve">Licencje dostępowe - </w:t>
            </w:r>
            <w:r w:rsidRPr="00ED5C2B">
              <w:rPr>
                <w:rFonts w:ascii="Tahoma" w:hAnsi="Tahoma" w:cs="Tahoma"/>
                <w:b/>
              </w:rPr>
              <w:t xml:space="preserve">Typ 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Pr="00ED5C2B" w:rsidRDefault="008C574F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licencji</w:t>
            </w:r>
          </w:p>
        </w:tc>
      </w:tr>
      <w:tr w:rsidR="008C574F" w:rsidRPr="00ED5C2B" w:rsidTr="008C574F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Pr="00ED5C2B" w:rsidRDefault="008C574F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Pr="00ED5C2B" w:rsidRDefault="008C574F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8C574F" w:rsidRPr="00ED5C2B" w:rsidTr="008C574F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Pr="00ED5C2B" w:rsidRDefault="008C574F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Default="008C574F" w:rsidP="00A13A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Licencje dostępowe do oprogramowania Windows Serwer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eksploatowanego przez Zamawiającego rozszerzające mak</w:t>
            </w:r>
            <w:r>
              <w:rPr>
                <w:rFonts w:ascii="Tahoma" w:hAnsi="Tahoma" w:cs="Tahoma"/>
                <w:sz w:val="20"/>
                <w:szCs w:val="20"/>
              </w:rPr>
              <w:t xml:space="preserve">symalną liczbę użytkowników </w:t>
            </w:r>
            <w:r w:rsidR="00A13A87">
              <w:rPr>
                <w:rFonts w:ascii="Tahoma" w:hAnsi="Tahoma" w:cs="Tahoma"/>
                <w:sz w:val="20"/>
                <w:szCs w:val="20"/>
              </w:rPr>
              <w:t xml:space="preserve">w ramach posiadanych przez Zamawiającego licencji Microsoft Open o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osób (User CAL), którzy mają prawo do jednoczesnego łączenia się z tym oprogramowaniem. </w:t>
            </w:r>
          </w:p>
          <w:p w:rsidR="00A13A87" w:rsidRPr="00ED5C2B" w:rsidRDefault="00A13A87" w:rsidP="00A13A87">
            <w:pPr>
              <w:jc w:val="both"/>
            </w:pPr>
            <w:r w:rsidRPr="008C574F">
              <w:rPr>
                <w:rFonts w:ascii="Tahoma" w:hAnsi="Tahoma" w:cs="Tahoma"/>
                <w:sz w:val="20"/>
                <w:szCs w:val="20"/>
              </w:rPr>
              <w:t>Lub oprogramowanie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pełni kompatybilne z licencjami i oprogramowaniem </w:t>
            </w:r>
            <w:r w:rsidRPr="00ED5C2B">
              <w:rPr>
                <w:rFonts w:ascii="Tahoma" w:hAnsi="Tahoma" w:cs="Tahoma"/>
                <w:sz w:val="20"/>
                <w:szCs w:val="20"/>
              </w:rPr>
              <w:t>Windows Serwer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posiadanym przez Zamawiającego umożliwiające zwiększenie liczby użytkowników o 20 osób w ramach licencji Microsoft Open</w:t>
            </w:r>
            <w:r w:rsidR="00B23B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C574F" w:rsidRPr="00ED5C2B" w:rsidTr="008C574F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Pr="00ED5C2B" w:rsidRDefault="008C574F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Pr="00ED5C2B" w:rsidRDefault="008C574F" w:rsidP="00A13A87">
            <w:pPr>
              <w:tabs>
                <w:tab w:val="left" w:pos="9161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Pozostałe wymagania: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prawo </w:t>
            </w:r>
            <w:r w:rsidRPr="00ED5C2B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okresie minimum 2 lat od daty udzielenia licencji Zamawiającemu do wykorzystania licencji w nowszych wersjach oprogramowania serwerowego Windows Serwer w przypadku, gdy taka wersja zostanie opublikowana.</w:t>
            </w:r>
          </w:p>
        </w:tc>
      </w:tr>
      <w:tr w:rsidR="008C574F" w:rsidRPr="00ED5C2B" w:rsidTr="008C574F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Pr="00ED5C2B" w:rsidRDefault="008C574F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4F" w:rsidRPr="00ED5C2B" w:rsidRDefault="008C574F" w:rsidP="00A13A87">
            <w:pPr>
              <w:ind w:left="17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Typ licencjonowania: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Grupowe, bezterminowe.</w:t>
            </w:r>
          </w:p>
        </w:tc>
      </w:tr>
    </w:tbl>
    <w:p w:rsidR="000A31D5" w:rsidRDefault="000A31D5" w:rsidP="000A31D5">
      <w:pPr>
        <w:tabs>
          <w:tab w:val="left" w:pos="540"/>
          <w:tab w:val="left" w:pos="6946"/>
        </w:tabs>
        <w:rPr>
          <w:rFonts w:ascii="Tahoma" w:hAnsi="Tahoma" w:cs="Tahoma"/>
          <w:b/>
          <w:sz w:val="20"/>
          <w:szCs w:val="20"/>
        </w:rPr>
      </w:pPr>
    </w:p>
    <w:p w:rsidR="008C574F" w:rsidRDefault="008C574F" w:rsidP="000A31D5">
      <w:pPr>
        <w:tabs>
          <w:tab w:val="left" w:pos="540"/>
          <w:tab w:val="left" w:pos="6946"/>
        </w:tabs>
        <w:rPr>
          <w:rFonts w:ascii="Tahoma" w:hAnsi="Tahoma" w:cs="Tahoma"/>
          <w:b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324"/>
        <w:gridCol w:w="2977"/>
      </w:tblGrid>
      <w:tr w:rsidR="007951AB" w:rsidRPr="00ED5C2B" w:rsidTr="0095184B">
        <w:trPr>
          <w:trHeight w:val="402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Pr="00ED5C2B" w:rsidRDefault="007951AB" w:rsidP="008C574F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B23BE3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Licencje dostępowe </w:t>
            </w:r>
            <w:r w:rsidR="00196B97">
              <w:rPr>
                <w:rFonts w:ascii="Tahoma" w:hAnsi="Tahoma" w:cs="Tahoma"/>
                <w:b/>
              </w:rPr>
              <w:t xml:space="preserve">- </w:t>
            </w:r>
            <w:r w:rsidR="008C574F">
              <w:rPr>
                <w:rFonts w:ascii="Tahoma" w:hAnsi="Tahoma" w:cs="Tahoma"/>
                <w:b/>
              </w:rPr>
              <w:t>Typ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Pr="00ED5C2B" w:rsidRDefault="007951AB" w:rsidP="0095184B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0 licencji</w:t>
            </w:r>
          </w:p>
        </w:tc>
      </w:tr>
      <w:tr w:rsidR="007951AB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Pr="00ED5C2B" w:rsidRDefault="007951AB" w:rsidP="009518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Pr="00ED5C2B" w:rsidRDefault="007951AB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7951AB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Pr="00ED5C2B" w:rsidRDefault="007951AB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Default="007951AB" w:rsidP="009518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Licencje dostępowe do oprogramowania Exchange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eksploatowanego przez Zamawiającego, rozszerzające ma</w:t>
            </w:r>
            <w:r>
              <w:rPr>
                <w:rFonts w:ascii="Tahoma" w:hAnsi="Tahoma" w:cs="Tahoma"/>
                <w:sz w:val="20"/>
                <w:szCs w:val="20"/>
              </w:rPr>
              <w:t>ksymalną liczbę użytkowników</w:t>
            </w:r>
            <w:r w:rsidR="00B25463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="00A13A87">
              <w:rPr>
                <w:rFonts w:ascii="Tahoma" w:hAnsi="Tahoma" w:cs="Tahoma"/>
                <w:sz w:val="20"/>
                <w:szCs w:val="20"/>
              </w:rPr>
              <w:t xml:space="preserve">ramach </w:t>
            </w:r>
            <w:r w:rsidR="00B25463">
              <w:rPr>
                <w:rFonts w:ascii="Tahoma" w:hAnsi="Tahoma" w:cs="Tahoma"/>
                <w:sz w:val="20"/>
                <w:szCs w:val="20"/>
              </w:rPr>
              <w:t xml:space="preserve">posiadanych przez Zamawiającego licencji Microsoft Open </w:t>
            </w:r>
            <w:r>
              <w:rPr>
                <w:rFonts w:ascii="Tahoma" w:hAnsi="Tahoma" w:cs="Tahoma"/>
                <w:sz w:val="20"/>
                <w:szCs w:val="20"/>
              </w:rPr>
              <w:t>o 2</w:t>
            </w:r>
            <w:r w:rsidRPr="00ED5C2B">
              <w:rPr>
                <w:rFonts w:ascii="Tahoma" w:hAnsi="Tahoma" w:cs="Tahoma"/>
                <w:sz w:val="20"/>
                <w:szCs w:val="20"/>
              </w:rPr>
              <w:t>0 osób (</w:t>
            </w:r>
            <w:r w:rsidR="008C574F">
              <w:rPr>
                <w:rFonts w:ascii="Tahoma" w:hAnsi="Tahoma" w:cs="Tahoma"/>
                <w:sz w:val="20"/>
                <w:szCs w:val="20"/>
              </w:rPr>
              <w:t xml:space="preserve">Exchange Standard </w:t>
            </w:r>
            <w:r w:rsidRPr="00ED5C2B">
              <w:rPr>
                <w:rFonts w:ascii="Tahoma" w:hAnsi="Tahoma" w:cs="Tahoma"/>
                <w:sz w:val="20"/>
                <w:szCs w:val="20"/>
              </w:rPr>
              <w:t>User CAL), którzy mają prawo do jednoczesnego łączenia się z tym oprogramowaniem.</w:t>
            </w:r>
          </w:p>
          <w:p w:rsidR="00B7116D" w:rsidRPr="00B7116D" w:rsidRDefault="008C574F" w:rsidP="00A13A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574F">
              <w:rPr>
                <w:rFonts w:ascii="Tahoma" w:hAnsi="Tahoma" w:cs="Tahoma"/>
                <w:sz w:val="20"/>
                <w:szCs w:val="20"/>
              </w:rPr>
              <w:t>Lub oprogramowanie równoważne</w:t>
            </w:r>
            <w:r w:rsidR="00B7116D">
              <w:rPr>
                <w:rFonts w:ascii="Tahoma" w:hAnsi="Tahoma" w:cs="Tahoma"/>
                <w:sz w:val="20"/>
                <w:szCs w:val="20"/>
              </w:rPr>
              <w:t xml:space="preserve"> w pełni kompatybilne z licencjami i oprogramowaniem Exchange posiadanym przez Zamawiającego umożliwiające zwiększenie liczby użytkowników o 20 osób </w:t>
            </w:r>
            <w:r w:rsidR="00B25463">
              <w:rPr>
                <w:rFonts w:ascii="Tahoma" w:hAnsi="Tahoma" w:cs="Tahoma"/>
                <w:sz w:val="20"/>
                <w:szCs w:val="20"/>
              </w:rPr>
              <w:t>w ramach licencji Microsoft Open</w:t>
            </w:r>
            <w:r w:rsidR="00B23B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951AB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Pr="00ED5C2B" w:rsidRDefault="007951AB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Pr="00ED5C2B" w:rsidRDefault="007951AB" w:rsidP="00A13A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Pozostałe wymagania: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prawo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uzyskiwania dostępu do </w:t>
            </w:r>
            <w:r w:rsidR="008C574F">
              <w:rPr>
                <w:rFonts w:ascii="Tahoma" w:hAnsi="Tahoma" w:cs="Tahoma"/>
                <w:sz w:val="20"/>
                <w:szCs w:val="20"/>
              </w:rPr>
              <w:t>nowszych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wersji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ww. oprogramowania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opublikowanych </w:t>
            </w:r>
            <w:r w:rsidRPr="00ED5C2B">
              <w:rPr>
                <w:rFonts w:ascii="Tahoma" w:hAnsi="Tahoma" w:cs="Tahoma"/>
                <w:sz w:val="20"/>
                <w:szCs w:val="20"/>
              </w:rPr>
              <w:t>w okresie minimum 2 lat od daty udzielenia licencji Zamawiającemu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przypadku pojawienia się </w:t>
            </w:r>
            <w:r>
              <w:rPr>
                <w:rFonts w:ascii="Tahoma" w:hAnsi="Tahoma" w:cs="Tahoma"/>
                <w:sz w:val="20"/>
                <w:szCs w:val="20"/>
              </w:rPr>
              <w:t>takich wersji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951AB" w:rsidRPr="00ED5C2B" w:rsidTr="0095184B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Pr="00ED5C2B" w:rsidRDefault="007951AB" w:rsidP="009518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AB" w:rsidRPr="00ED5C2B" w:rsidRDefault="007951AB" w:rsidP="009518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Typ licencjonowania: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Grupowe, bezterminowe.</w:t>
            </w:r>
          </w:p>
        </w:tc>
      </w:tr>
    </w:tbl>
    <w:p w:rsidR="007951AB" w:rsidRDefault="007951AB" w:rsidP="007951AB">
      <w:pPr>
        <w:ind w:left="5664" w:hanging="5664"/>
        <w:rPr>
          <w:rFonts w:ascii="Tahoma" w:hAnsi="Tahoma" w:cs="Tahoma"/>
          <w:b/>
          <w:sz w:val="19"/>
          <w:szCs w:val="19"/>
        </w:rPr>
      </w:pPr>
    </w:p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p w:rsidR="00490066" w:rsidRDefault="00490066" w:rsidP="000A31D5"/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883"/>
    <w:multiLevelType w:val="hybridMultilevel"/>
    <w:tmpl w:val="4352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F13BFA"/>
    <w:multiLevelType w:val="multilevel"/>
    <w:tmpl w:val="79C613D6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B780242"/>
    <w:multiLevelType w:val="hybridMultilevel"/>
    <w:tmpl w:val="692AFDCA"/>
    <w:lvl w:ilvl="0" w:tplc="198C969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E7765"/>
    <w:multiLevelType w:val="multilevel"/>
    <w:tmpl w:val="2FD44A56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CCE1E2D"/>
    <w:multiLevelType w:val="hybridMultilevel"/>
    <w:tmpl w:val="08841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BA0"/>
    <w:multiLevelType w:val="hybridMultilevel"/>
    <w:tmpl w:val="4E7A3668"/>
    <w:lvl w:ilvl="0" w:tplc="3BD266EE">
      <w:start w:val="1"/>
      <w:numFmt w:val="lowerLetter"/>
      <w:lvlText w:val="%1)"/>
      <w:lvlJc w:val="left"/>
      <w:pPr>
        <w:tabs>
          <w:tab w:val="num" w:pos="-741"/>
        </w:tabs>
        <w:ind w:left="-7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922" w:hanging="360"/>
      </w:pPr>
    </w:lvl>
    <w:lvl w:ilvl="2" w:tplc="0415001B" w:tentative="1">
      <w:start w:val="1"/>
      <w:numFmt w:val="lowerRoman"/>
      <w:lvlText w:val="%3."/>
      <w:lvlJc w:val="right"/>
      <w:pPr>
        <w:ind w:left="-2202" w:hanging="180"/>
      </w:pPr>
    </w:lvl>
    <w:lvl w:ilvl="3" w:tplc="0415000F" w:tentative="1">
      <w:start w:val="1"/>
      <w:numFmt w:val="decimal"/>
      <w:lvlText w:val="%4."/>
      <w:lvlJc w:val="left"/>
      <w:pPr>
        <w:ind w:left="-1482" w:hanging="360"/>
      </w:pPr>
    </w:lvl>
    <w:lvl w:ilvl="4" w:tplc="04150019" w:tentative="1">
      <w:start w:val="1"/>
      <w:numFmt w:val="lowerLetter"/>
      <w:lvlText w:val="%5."/>
      <w:lvlJc w:val="left"/>
      <w:pPr>
        <w:ind w:left="-762" w:hanging="360"/>
      </w:pPr>
    </w:lvl>
    <w:lvl w:ilvl="5" w:tplc="0415001B" w:tentative="1">
      <w:start w:val="1"/>
      <w:numFmt w:val="lowerRoman"/>
      <w:lvlText w:val="%6."/>
      <w:lvlJc w:val="right"/>
      <w:pPr>
        <w:ind w:left="-42" w:hanging="180"/>
      </w:pPr>
    </w:lvl>
    <w:lvl w:ilvl="6" w:tplc="0415000F" w:tentative="1">
      <w:start w:val="1"/>
      <w:numFmt w:val="decimal"/>
      <w:lvlText w:val="%7."/>
      <w:lvlJc w:val="left"/>
      <w:pPr>
        <w:ind w:left="678" w:hanging="360"/>
      </w:pPr>
    </w:lvl>
    <w:lvl w:ilvl="7" w:tplc="04150019" w:tentative="1">
      <w:start w:val="1"/>
      <w:numFmt w:val="lowerLetter"/>
      <w:lvlText w:val="%8."/>
      <w:lvlJc w:val="left"/>
      <w:pPr>
        <w:ind w:left="1398" w:hanging="360"/>
      </w:pPr>
    </w:lvl>
    <w:lvl w:ilvl="8" w:tplc="0415001B" w:tentative="1">
      <w:start w:val="1"/>
      <w:numFmt w:val="lowerRoman"/>
      <w:lvlText w:val="%9."/>
      <w:lvlJc w:val="right"/>
      <w:pPr>
        <w:ind w:left="2118" w:hanging="180"/>
      </w:pPr>
    </w:lvl>
  </w:abstractNum>
  <w:abstractNum w:abstractNumId="7">
    <w:nsid w:val="35CA541F"/>
    <w:multiLevelType w:val="multilevel"/>
    <w:tmpl w:val="80641BF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A9F2290"/>
    <w:multiLevelType w:val="hybridMultilevel"/>
    <w:tmpl w:val="C05E915A"/>
    <w:lvl w:ilvl="0" w:tplc="08E82C60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>
    <w:nsid w:val="43C3591F"/>
    <w:multiLevelType w:val="multilevel"/>
    <w:tmpl w:val="DBF6018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04E04CA"/>
    <w:multiLevelType w:val="multilevel"/>
    <w:tmpl w:val="D740612A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0B54784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95D01"/>
    <w:multiLevelType w:val="hybridMultilevel"/>
    <w:tmpl w:val="9FA04A2C"/>
    <w:lvl w:ilvl="0" w:tplc="E90C1D40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3">
    <w:nsid w:val="6CDF7A7C"/>
    <w:multiLevelType w:val="multilevel"/>
    <w:tmpl w:val="5D5AA43A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9656877"/>
    <w:multiLevelType w:val="hybridMultilevel"/>
    <w:tmpl w:val="91F29358"/>
    <w:lvl w:ilvl="0" w:tplc="DF988F58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55"/>
    <w:rsid w:val="00052455"/>
    <w:rsid w:val="0008097B"/>
    <w:rsid w:val="000A31D5"/>
    <w:rsid w:val="00181955"/>
    <w:rsid w:val="00196B97"/>
    <w:rsid w:val="001C390D"/>
    <w:rsid w:val="002670BC"/>
    <w:rsid w:val="00291672"/>
    <w:rsid w:val="00295E71"/>
    <w:rsid w:val="0029707C"/>
    <w:rsid w:val="002B507A"/>
    <w:rsid w:val="00353124"/>
    <w:rsid w:val="003542E7"/>
    <w:rsid w:val="003F2C5B"/>
    <w:rsid w:val="003F4168"/>
    <w:rsid w:val="004416EA"/>
    <w:rsid w:val="0045317B"/>
    <w:rsid w:val="00490066"/>
    <w:rsid w:val="00582C7A"/>
    <w:rsid w:val="00591DD0"/>
    <w:rsid w:val="00771A18"/>
    <w:rsid w:val="007951AB"/>
    <w:rsid w:val="007970C1"/>
    <w:rsid w:val="007F66BE"/>
    <w:rsid w:val="00801233"/>
    <w:rsid w:val="00801ECA"/>
    <w:rsid w:val="00881E5C"/>
    <w:rsid w:val="008B2E8A"/>
    <w:rsid w:val="008C574F"/>
    <w:rsid w:val="008D3729"/>
    <w:rsid w:val="009162D6"/>
    <w:rsid w:val="00921E35"/>
    <w:rsid w:val="009253C8"/>
    <w:rsid w:val="0095184B"/>
    <w:rsid w:val="00994D49"/>
    <w:rsid w:val="00A13A87"/>
    <w:rsid w:val="00A62AE3"/>
    <w:rsid w:val="00A648DE"/>
    <w:rsid w:val="00AC3E9D"/>
    <w:rsid w:val="00AF4FFC"/>
    <w:rsid w:val="00B23BE3"/>
    <w:rsid w:val="00B25463"/>
    <w:rsid w:val="00B7116D"/>
    <w:rsid w:val="00BC67CB"/>
    <w:rsid w:val="00BF21FE"/>
    <w:rsid w:val="00C30E31"/>
    <w:rsid w:val="00CB0A36"/>
    <w:rsid w:val="00CB3EF7"/>
    <w:rsid w:val="00CB719A"/>
    <w:rsid w:val="00CD04E6"/>
    <w:rsid w:val="00D04F8F"/>
    <w:rsid w:val="00DA0EF0"/>
    <w:rsid w:val="00DC349E"/>
    <w:rsid w:val="00DD0692"/>
    <w:rsid w:val="00E35BD3"/>
    <w:rsid w:val="00E633C4"/>
    <w:rsid w:val="00ED3F4B"/>
    <w:rsid w:val="00FA6ED1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D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31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5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C349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D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31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5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C349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4328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dcterms:created xsi:type="dcterms:W3CDTF">2018-10-17T07:19:00Z</dcterms:created>
  <dcterms:modified xsi:type="dcterms:W3CDTF">2018-10-17T07:19:00Z</dcterms:modified>
</cp:coreProperties>
</file>