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D7" w:rsidRPr="00B951D7" w:rsidRDefault="005C3C03" w:rsidP="00B951D7">
      <w:pPr>
        <w:ind w:left="180"/>
        <w:rPr>
          <w:rFonts w:ascii="Verdana" w:hAnsi="Verdana" w:cs="Tahoma"/>
          <w:sz w:val="18"/>
          <w:szCs w:val="18"/>
          <w:lang w:val="pl-PL" w:eastAsia="en-US"/>
        </w:rPr>
      </w:pPr>
      <w:r w:rsidRPr="005C3C03">
        <w:rPr>
          <w:sz w:val="24"/>
          <w:szCs w:val="24"/>
          <w:lang w:val="pl-PL" w:eastAsia="en-US"/>
        </w:rPr>
        <w:t xml:space="preserve"> </w:t>
      </w:r>
      <w:r w:rsidR="00B951D7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>Numer sprawy: 9/2016</w:t>
      </w:r>
      <w:r w:rsidR="00B951D7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="00B951D7" w:rsidRP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</w:t>
      </w:r>
      <w:r w:rsid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       </w:t>
      </w:r>
      <w:r w:rsidR="00B951D7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     </w:t>
      </w:r>
      <w:r w:rsidR="00B951D7" w:rsidRPr="00B951D7">
        <w:rPr>
          <w:rFonts w:ascii="Verdana" w:eastAsia="Arial Unicode MS" w:hAnsi="Verdana" w:cs="Tahoma"/>
          <w:bCs/>
          <w:sz w:val="18"/>
          <w:szCs w:val="18"/>
          <w:lang w:val="pl-PL" w:eastAsia="en-US"/>
        </w:rPr>
        <w:t>W</w:t>
      </w:r>
      <w:r w:rsidR="00B951D7" w:rsidRPr="00B951D7">
        <w:rPr>
          <w:rFonts w:ascii="Verdana" w:hAnsi="Verdana" w:cs="Tahoma"/>
          <w:sz w:val="18"/>
          <w:szCs w:val="18"/>
          <w:lang w:val="pl-PL" w:eastAsia="en-US"/>
        </w:rPr>
        <w:t>arszawa,</w:t>
      </w:r>
      <w:r w:rsidR="00B951D7">
        <w:rPr>
          <w:rFonts w:ascii="Verdana" w:hAnsi="Verdana" w:cs="Tahoma"/>
          <w:sz w:val="18"/>
          <w:szCs w:val="18"/>
          <w:lang w:val="pl-PL" w:eastAsia="en-US"/>
        </w:rPr>
        <w:t xml:space="preserve"> </w:t>
      </w:r>
      <w:r w:rsidR="00B951D7" w:rsidRPr="00B951D7">
        <w:rPr>
          <w:rFonts w:ascii="Verdana" w:hAnsi="Verdana" w:cs="Tahoma"/>
          <w:sz w:val="18"/>
          <w:szCs w:val="18"/>
          <w:lang w:val="pl-PL" w:eastAsia="en-US"/>
        </w:rPr>
        <w:t>dn</w:t>
      </w:r>
      <w:r w:rsidR="00B951D7">
        <w:rPr>
          <w:rFonts w:ascii="Verdana" w:hAnsi="Verdana" w:cs="Tahoma"/>
          <w:sz w:val="18"/>
          <w:szCs w:val="18"/>
          <w:lang w:val="pl-PL" w:eastAsia="en-US"/>
        </w:rPr>
        <w:t xml:space="preserve">ia </w:t>
      </w:r>
      <w:r w:rsidR="002F06CF">
        <w:rPr>
          <w:rFonts w:ascii="Verdana" w:hAnsi="Verdana" w:cs="Tahoma"/>
          <w:sz w:val="18"/>
          <w:szCs w:val="18"/>
          <w:lang w:val="pl-PL" w:eastAsia="en-US"/>
        </w:rPr>
        <w:t>2</w:t>
      </w:r>
      <w:r w:rsidR="0018393A">
        <w:rPr>
          <w:rFonts w:ascii="Verdana" w:hAnsi="Verdana" w:cs="Tahoma"/>
          <w:sz w:val="18"/>
          <w:szCs w:val="18"/>
          <w:lang w:val="pl-PL" w:eastAsia="en-US"/>
        </w:rPr>
        <w:t>5</w:t>
      </w:r>
      <w:r w:rsidR="00B951D7" w:rsidRPr="00B951D7">
        <w:rPr>
          <w:rFonts w:ascii="Verdana" w:hAnsi="Verdana" w:cs="Tahoma"/>
          <w:sz w:val="18"/>
          <w:szCs w:val="18"/>
          <w:lang w:val="pl-PL" w:eastAsia="en-US"/>
        </w:rPr>
        <w:t>.10.2016r.</w:t>
      </w:r>
    </w:p>
    <w:p w:rsidR="00B951D7" w:rsidRPr="00B951D7" w:rsidRDefault="00B951D7" w:rsidP="00B951D7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>Znak pisma: OA.C.ZP.22</w:t>
      </w:r>
      <w:r>
        <w:rPr>
          <w:rFonts w:ascii="Verdana" w:hAnsi="Verdana" w:cs="Tahoma"/>
          <w:sz w:val="18"/>
          <w:szCs w:val="18"/>
          <w:lang w:val="pl-PL" w:eastAsia="en-US"/>
        </w:rPr>
        <w:t>2</w:t>
      </w:r>
      <w:r w:rsidR="0084408D">
        <w:rPr>
          <w:rFonts w:ascii="Verdana" w:hAnsi="Verdana" w:cs="Tahoma"/>
          <w:sz w:val="18"/>
          <w:szCs w:val="18"/>
          <w:lang w:val="pl-PL" w:eastAsia="en-US"/>
        </w:rPr>
        <w:t>.</w:t>
      </w:r>
      <w:r w:rsidR="0084408D" w:rsidRPr="0084408D">
        <w:rPr>
          <w:rFonts w:ascii="Verdana" w:hAnsi="Verdana" w:cs="Tahoma"/>
          <w:b/>
          <w:sz w:val="18"/>
          <w:szCs w:val="18"/>
          <w:lang w:val="pl-PL" w:eastAsia="en-US"/>
        </w:rPr>
        <w:t>265</w:t>
      </w:r>
      <w:r w:rsidR="0084408D">
        <w:rPr>
          <w:rFonts w:ascii="Verdana" w:hAnsi="Verdana" w:cs="Tahoma"/>
          <w:sz w:val="18"/>
          <w:szCs w:val="18"/>
          <w:lang w:val="pl-PL" w:eastAsia="en-US"/>
        </w:rPr>
        <w:t>.</w:t>
      </w:r>
      <w:r w:rsidRPr="00B951D7">
        <w:rPr>
          <w:rFonts w:ascii="Verdana" w:hAnsi="Verdana" w:cs="Tahoma"/>
          <w:sz w:val="18"/>
          <w:szCs w:val="18"/>
          <w:lang w:val="pl-PL" w:eastAsia="en-US"/>
        </w:rPr>
        <w:t>LP.2016</w:t>
      </w:r>
    </w:p>
    <w:p w:rsidR="00B951D7" w:rsidRPr="00B951D7" w:rsidRDefault="00B951D7" w:rsidP="00B951D7">
      <w:pPr>
        <w:overflowPunct/>
        <w:autoSpaceDE/>
        <w:autoSpaceDN/>
        <w:adjustRightInd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B951D7" w:rsidRPr="00B951D7" w:rsidRDefault="00B951D7" w:rsidP="00B951D7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  <w:r w:rsidRPr="00B951D7">
        <w:rPr>
          <w:rFonts w:ascii="Verdana" w:hAnsi="Verdana" w:cs="Tahoma"/>
          <w:sz w:val="18"/>
          <w:szCs w:val="18"/>
          <w:lang w:val="pl-PL" w:eastAsia="en-US"/>
        </w:rPr>
        <w:tab/>
      </w:r>
    </w:p>
    <w:p w:rsidR="00B951D7" w:rsidRPr="00B951D7" w:rsidRDefault="00B951D7" w:rsidP="00B951D7">
      <w:pPr>
        <w:overflowPunct/>
        <w:autoSpaceDE/>
        <w:autoSpaceDN/>
        <w:adjustRightInd/>
        <w:ind w:left="180" w:firstLine="528"/>
        <w:jc w:val="right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 xml:space="preserve">      </w:t>
      </w:r>
      <w:r w:rsidRPr="00B951D7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>DO WSZYSTKICH WYKONAWCÓW</w:t>
      </w:r>
    </w:p>
    <w:p w:rsidR="00B951D7" w:rsidRPr="00B951D7" w:rsidRDefault="00B951D7" w:rsidP="00B951D7">
      <w:pPr>
        <w:overflowPunct/>
        <w:autoSpaceDE/>
        <w:autoSpaceDN/>
        <w:adjustRightInd/>
        <w:ind w:left="180" w:firstLine="528"/>
        <w:jc w:val="both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</w:p>
    <w:p w:rsidR="00B951D7" w:rsidRPr="00B951D7" w:rsidRDefault="00B951D7" w:rsidP="00B951D7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B951D7" w:rsidRPr="00B951D7" w:rsidRDefault="00B951D7" w:rsidP="00B951D7">
      <w:pPr>
        <w:widowControl w:val="0"/>
        <w:suppressAutoHyphens/>
        <w:overflowPunct/>
        <w:autoSpaceDE/>
        <w:autoSpaceDN/>
        <w:adjustRightInd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WYJAŚNIENIA </w:t>
      </w:r>
      <w:r w:rsidRPr="00B951D7"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>TREŚCI SPECYFIKACJI ISTOTNYCH WARUNKÓW ZAMÓWIENIA (SIWZ)</w:t>
      </w:r>
    </w:p>
    <w:p w:rsidR="00B951D7" w:rsidRPr="00B951D7" w:rsidRDefault="00B951D7" w:rsidP="00B951D7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sz w:val="18"/>
          <w:szCs w:val="18"/>
          <w:lang w:val="pl-PL" w:eastAsia="en-US"/>
        </w:rPr>
        <w:t>w postępowaniu prowadzonym w trybie przetargu nieograniczonego na</w:t>
      </w:r>
    </w:p>
    <w:p w:rsidR="00B951D7" w:rsidRPr="00B951D7" w:rsidRDefault="00B951D7" w:rsidP="00B951D7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</w:p>
    <w:p w:rsidR="00B951D7" w:rsidRPr="00B951D7" w:rsidRDefault="00B951D7" w:rsidP="00B951D7">
      <w:pPr>
        <w:overflowPunct/>
        <w:autoSpaceDE/>
        <w:autoSpaceDN/>
        <w:adjustRightInd/>
        <w:ind w:left="180"/>
        <w:jc w:val="center"/>
        <w:rPr>
          <w:rFonts w:ascii="Verdana" w:eastAsia="Calibri" w:hAnsi="Verdana" w:cs="Tahoma"/>
          <w:b/>
          <w:sz w:val="18"/>
          <w:szCs w:val="18"/>
          <w:u w:val="single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 xml:space="preserve">DOSTAWĘ SPRZĘTU KOMPUTEROWEGO I OPROGRAMOWANIA DLA URZĘDU PRACY </w:t>
      </w:r>
      <w:r w:rsidRPr="00B951D7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br/>
        <w:t>M.ST. WARSZAWY.</w:t>
      </w:r>
    </w:p>
    <w:p w:rsidR="00B951D7" w:rsidRPr="00B951D7" w:rsidRDefault="00B951D7" w:rsidP="00B951D7">
      <w:pPr>
        <w:overflowPunct/>
        <w:autoSpaceDE/>
        <w:autoSpaceDN/>
        <w:adjustRightInd/>
        <w:ind w:left="180"/>
        <w:jc w:val="both"/>
        <w:rPr>
          <w:rFonts w:ascii="Segoe UI Semibold" w:eastAsia="Calibri" w:hAnsi="Segoe UI Semibold" w:cs="Tahoma"/>
          <w:b/>
          <w:sz w:val="18"/>
          <w:szCs w:val="18"/>
          <w:lang w:val="pl-PL" w:eastAsia="en-US"/>
        </w:rPr>
      </w:pPr>
    </w:p>
    <w:p w:rsidR="00B951D7" w:rsidRPr="00B951D7" w:rsidRDefault="00B951D7" w:rsidP="00B951D7">
      <w:pPr>
        <w:tabs>
          <w:tab w:val="left" w:pos="720"/>
        </w:tabs>
        <w:overflowPunct/>
        <w:autoSpaceDE/>
        <w:autoSpaceDN/>
        <w:adjustRightInd/>
        <w:ind w:left="180"/>
        <w:jc w:val="both"/>
        <w:rPr>
          <w:rFonts w:ascii="Verdana" w:eastAsia="Calibri" w:hAnsi="Verdana" w:cs="Tahoma"/>
          <w:sz w:val="18"/>
          <w:szCs w:val="18"/>
          <w:lang w:val="pl-PL" w:eastAsia="en-US"/>
        </w:rPr>
      </w:pPr>
      <w:r w:rsidRPr="00B951D7">
        <w:rPr>
          <w:rFonts w:ascii="Verdana" w:eastAsia="Calibri" w:hAnsi="Verdana" w:cs="Tahoma"/>
          <w:bCs/>
          <w:sz w:val="18"/>
          <w:szCs w:val="18"/>
          <w:lang w:val="pl-PL" w:eastAsia="en-US"/>
        </w:rPr>
        <w:tab/>
        <w:t xml:space="preserve">Zamawiający: Miasto st. Warszawa – Urząd Pracy m.st. Warszawy </w:t>
      </w:r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t xml:space="preserve">działając </w:t>
      </w:r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br/>
        <w:t xml:space="preserve">na podstawie art. 38 ust. 2 ustawy z dnia 29 stycznia 2004 r. Prawo zamówień publicznych (Dz. U. z 2013 r. poz. 907 z </w:t>
      </w:r>
      <w:proofErr w:type="spellStart"/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t>późn</w:t>
      </w:r>
      <w:proofErr w:type="spellEnd"/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t xml:space="preserve">. zm.) informuje, że dnia </w:t>
      </w:r>
      <w:r w:rsidR="00BA0E6A">
        <w:rPr>
          <w:rFonts w:ascii="Verdana" w:eastAsia="Calibri" w:hAnsi="Verdana" w:cs="Tahoma"/>
          <w:sz w:val="18"/>
          <w:szCs w:val="18"/>
          <w:lang w:val="pl-PL" w:eastAsia="en-US"/>
        </w:rPr>
        <w:t xml:space="preserve">24 i 25 </w:t>
      </w:r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t xml:space="preserve">października 2016 r. wpłynęły pytania  dotyczące wyjaśnienia treści SIWZ do ww. postępowania. </w:t>
      </w:r>
      <w:r w:rsidR="00BA0E6A">
        <w:rPr>
          <w:rFonts w:ascii="Verdana" w:eastAsia="Calibri" w:hAnsi="Verdana" w:cs="Tahoma"/>
          <w:sz w:val="18"/>
          <w:szCs w:val="18"/>
          <w:lang w:val="pl-PL" w:eastAsia="en-US"/>
        </w:rPr>
        <w:t>Treść pytań wraz z </w:t>
      </w:r>
      <w:r w:rsidRPr="00B951D7">
        <w:rPr>
          <w:rFonts w:ascii="Verdana" w:eastAsia="Calibri" w:hAnsi="Verdana" w:cs="Tahoma"/>
          <w:sz w:val="18"/>
          <w:szCs w:val="18"/>
          <w:lang w:val="pl-PL" w:eastAsia="en-US"/>
        </w:rPr>
        <w:t xml:space="preserve">wyjaśnieniem Zamawiający zamieszcza poniżej. </w:t>
      </w:r>
    </w:p>
    <w:p w:rsidR="00B951D7" w:rsidRPr="00B951D7" w:rsidRDefault="00B951D7" w:rsidP="00B951D7">
      <w:pPr>
        <w:tabs>
          <w:tab w:val="left" w:pos="720"/>
        </w:tabs>
        <w:overflowPunct/>
        <w:autoSpaceDE/>
        <w:autoSpaceDN/>
        <w:adjustRightInd/>
        <w:spacing w:line="360" w:lineRule="auto"/>
        <w:ind w:left="180"/>
        <w:jc w:val="both"/>
        <w:rPr>
          <w:rFonts w:ascii="Verdana" w:eastAsia="Calibri" w:hAnsi="Verdana" w:cs="Tahoma"/>
          <w:sz w:val="18"/>
          <w:szCs w:val="18"/>
          <w:lang w:val="pl-PL" w:eastAsia="en-US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18393A">
        <w:rPr>
          <w:rFonts w:ascii="Verdana" w:hAnsi="Verdana" w:cs="Tahoma"/>
          <w:b/>
          <w:sz w:val="18"/>
          <w:szCs w:val="18"/>
          <w:lang w:val="pl-PL" w:eastAsia="en-US"/>
        </w:rPr>
        <w:t>1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Pr="00C267E0" w:rsidRDefault="00A73881" w:rsidP="00A73881">
      <w:pPr>
        <w:pStyle w:val="Akapitzlist"/>
        <w:numPr>
          <w:ilvl w:val="0"/>
          <w:numId w:val="6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klient dopuszcza do użytkowania klienta do zestawiania tuneli</w:t>
      </w:r>
      <w:r w:rsidR="00BA0E6A">
        <w:rPr>
          <w:rFonts w:ascii="Verdana" w:hAnsi="Verdana" w:cs="Helvetica"/>
          <w:sz w:val="18"/>
          <w:szCs w:val="18"/>
          <w:lang w:val="pl-PL"/>
        </w:rPr>
        <w:t xml:space="preserve"> </w:t>
      </w:r>
      <w:proofErr w:type="spellStart"/>
      <w:r w:rsidR="00BA0E6A">
        <w:rPr>
          <w:rFonts w:ascii="Verdana" w:hAnsi="Verdana" w:cs="Helvetica"/>
          <w:sz w:val="18"/>
          <w:szCs w:val="18"/>
          <w:lang w:val="pl-PL"/>
        </w:rPr>
        <w:t>client</w:t>
      </w:r>
      <w:proofErr w:type="spellEnd"/>
      <w:r w:rsidR="00BA0E6A">
        <w:rPr>
          <w:rFonts w:ascii="Verdana" w:hAnsi="Verdana" w:cs="Helvetica"/>
          <w:sz w:val="18"/>
          <w:szCs w:val="18"/>
          <w:lang w:val="pl-PL"/>
        </w:rPr>
        <w:t xml:space="preserve"> to </w:t>
      </w:r>
      <w:proofErr w:type="spellStart"/>
      <w:r w:rsidR="00BA0E6A">
        <w:rPr>
          <w:rFonts w:ascii="Verdana" w:hAnsi="Verdana" w:cs="Helvetica"/>
          <w:sz w:val="18"/>
          <w:szCs w:val="18"/>
          <w:lang w:val="pl-PL"/>
        </w:rPr>
        <w:t>site</w:t>
      </w:r>
      <w:proofErr w:type="spellEnd"/>
      <w:r w:rsidR="00BA0E6A">
        <w:rPr>
          <w:rFonts w:ascii="Verdana" w:hAnsi="Verdana" w:cs="Helvetica"/>
          <w:sz w:val="18"/>
          <w:szCs w:val="18"/>
          <w:lang w:val="pl-PL"/>
        </w:rPr>
        <w:t xml:space="preserve"> ze zintegrowanym</w:t>
      </w:r>
      <w:r>
        <w:rPr>
          <w:rFonts w:ascii="Verdana" w:hAnsi="Verdana" w:cs="Helvetica"/>
          <w:sz w:val="18"/>
          <w:szCs w:val="18"/>
          <w:lang w:val="pl-PL"/>
        </w:rPr>
        <w:t xml:space="preserve"> firewallem i możliwością centralnej konfiguracji ustawień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firewalla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ze wsparciem </w:t>
      </w:r>
      <w:r w:rsidRPr="00C267E0">
        <w:rPr>
          <w:rFonts w:ascii="Verdana" w:hAnsi="Verdana" w:cs="Helvetica"/>
          <w:sz w:val="18"/>
          <w:szCs w:val="18"/>
          <w:lang w:val="pl-PL"/>
        </w:rPr>
        <w:t xml:space="preserve">dla funkcji ESET </w:t>
      </w:r>
      <w:proofErr w:type="spellStart"/>
      <w:r w:rsidRPr="00C267E0">
        <w:rPr>
          <w:rFonts w:ascii="Verdana" w:hAnsi="Verdana" w:cs="Helvetica"/>
          <w:sz w:val="18"/>
          <w:szCs w:val="18"/>
          <w:lang w:val="pl-PL"/>
        </w:rPr>
        <w:t>Secure</w:t>
      </w:r>
      <w:proofErr w:type="spellEnd"/>
      <w:r w:rsidRPr="00C267E0">
        <w:rPr>
          <w:rFonts w:ascii="Verdana" w:hAnsi="Verdana" w:cs="Helvetica"/>
          <w:sz w:val="18"/>
          <w:szCs w:val="18"/>
          <w:lang w:val="pl-PL"/>
        </w:rPr>
        <w:t xml:space="preserve"> </w:t>
      </w:r>
      <w:proofErr w:type="spellStart"/>
      <w:r w:rsidRPr="00C267E0">
        <w:rPr>
          <w:rFonts w:ascii="Verdana" w:hAnsi="Verdana" w:cs="Helvetica"/>
          <w:sz w:val="18"/>
          <w:szCs w:val="18"/>
          <w:lang w:val="pl-PL"/>
        </w:rPr>
        <w:t>Authentication</w:t>
      </w:r>
      <w:proofErr w:type="spellEnd"/>
      <w:r w:rsidRPr="00C267E0">
        <w:rPr>
          <w:rFonts w:ascii="Verdana" w:hAnsi="Verdana" w:cs="Helvetica"/>
          <w:sz w:val="18"/>
          <w:szCs w:val="18"/>
          <w:lang w:val="pl-PL"/>
        </w:rPr>
        <w:t xml:space="preserve"> tylko dla systemu Windows? </w:t>
      </w:r>
    </w:p>
    <w:p w:rsidR="00A73881" w:rsidRPr="00C267E0" w:rsidRDefault="00A73881" w:rsidP="00A73881">
      <w:pPr>
        <w:pStyle w:val="Akapitzlist"/>
        <w:tabs>
          <w:tab w:val="left" w:pos="3972"/>
        </w:tabs>
        <w:overflowPunct/>
        <w:autoSpaceDE/>
        <w:autoSpaceDN/>
        <w:adjustRightInd/>
        <w:ind w:left="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A73881" w:rsidRPr="00C267E0" w:rsidRDefault="00A73881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 w:cs="Verdana"/>
          <w:b/>
          <w:sz w:val="18"/>
          <w:szCs w:val="18"/>
          <w:lang w:val="pl-PL" w:eastAsia="en-US"/>
        </w:rPr>
      </w:pPr>
      <w:r w:rsidRPr="00C267E0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A73881" w:rsidRPr="00C267E0" w:rsidRDefault="00C267E0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C267E0" w:rsidRPr="00C267E0" w:rsidRDefault="00C267E0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18393A">
        <w:rPr>
          <w:rFonts w:ascii="Verdana" w:hAnsi="Verdana" w:cs="Tahoma"/>
          <w:b/>
          <w:sz w:val="18"/>
          <w:szCs w:val="18"/>
          <w:lang w:val="pl-PL" w:eastAsia="en-US"/>
        </w:rPr>
        <w:t>2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Pr="003E4457" w:rsidRDefault="00A73881" w:rsidP="00A73881">
      <w:pPr>
        <w:pStyle w:val="Akapitzlist"/>
        <w:numPr>
          <w:ilvl w:val="0"/>
          <w:numId w:val="6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klient dopuszcza funkcję IPS i IDS wraz z aktualizacją</w:t>
      </w:r>
      <w:r w:rsidR="00AA3C73">
        <w:rPr>
          <w:rFonts w:ascii="Verdana" w:hAnsi="Verdana" w:cs="Helvetica"/>
          <w:sz w:val="18"/>
          <w:szCs w:val="18"/>
          <w:lang w:val="pl-PL"/>
        </w:rPr>
        <w:t xml:space="preserve"> sygnatur</w:t>
      </w:r>
      <w:r>
        <w:rPr>
          <w:rFonts w:ascii="Verdana" w:hAnsi="Verdana" w:cs="Helvetica"/>
          <w:sz w:val="18"/>
          <w:szCs w:val="18"/>
          <w:lang w:val="pl-PL"/>
        </w:rPr>
        <w:t xml:space="preserve"> ale bez możliwości tworzenia własnych sygnatur?</w:t>
      </w: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A73881" w:rsidRPr="003E4457" w:rsidRDefault="00A73881" w:rsidP="00A73881">
      <w:pPr>
        <w:pStyle w:val="Akapitzlist"/>
        <w:tabs>
          <w:tab w:val="left" w:pos="3972"/>
        </w:tabs>
        <w:overflowPunct/>
        <w:autoSpaceDE/>
        <w:autoSpaceDN/>
        <w:adjustRightInd/>
        <w:ind w:left="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A73881" w:rsidRPr="00B951D7" w:rsidRDefault="00A73881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757DA6" w:rsidRPr="00C267E0" w:rsidRDefault="00757DA6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A73881" w:rsidRDefault="00A73881" w:rsidP="00A73881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18393A">
        <w:rPr>
          <w:rFonts w:ascii="Verdana" w:hAnsi="Verdana" w:cs="Tahoma"/>
          <w:b/>
          <w:sz w:val="18"/>
          <w:szCs w:val="18"/>
          <w:lang w:val="pl-PL" w:eastAsia="en-US"/>
        </w:rPr>
        <w:t>3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Pr="003E4457" w:rsidRDefault="00A73881" w:rsidP="00757DA6">
      <w:pPr>
        <w:pStyle w:val="Akapitzlist"/>
        <w:numPr>
          <w:ilvl w:val="0"/>
          <w:numId w:val="6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dopuszcza, aby rozwiązanie nie spełniało standardu ISO 15408 CC na poziomie EAL4+ ? </w:t>
      </w:r>
    </w:p>
    <w:p w:rsidR="00A73881" w:rsidRPr="003E4457" w:rsidRDefault="00A73881" w:rsidP="00A73881">
      <w:pPr>
        <w:pStyle w:val="Akapitzlist"/>
        <w:tabs>
          <w:tab w:val="left" w:pos="3972"/>
        </w:tabs>
        <w:overflowPunct/>
        <w:autoSpaceDE/>
        <w:autoSpaceDN/>
        <w:adjustRightInd/>
        <w:ind w:left="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A73881" w:rsidRPr="00B951D7" w:rsidRDefault="00A73881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757DA6" w:rsidRPr="00C267E0" w:rsidRDefault="00757DA6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A73881" w:rsidRDefault="00A73881" w:rsidP="00A73881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18393A">
        <w:rPr>
          <w:rFonts w:ascii="Verdana" w:hAnsi="Verdana" w:cs="Tahoma"/>
          <w:b/>
          <w:sz w:val="18"/>
          <w:szCs w:val="18"/>
          <w:lang w:val="pl-PL" w:eastAsia="en-US"/>
        </w:rPr>
        <w:t>4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Default="00A73881" w:rsidP="00AA3C73">
      <w:pPr>
        <w:pStyle w:val="Akapitzlist"/>
        <w:numPr>
          <w:ilvl w:val="0"/>
          <w:numId w:val="6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 dostarczenie urządzenia bez uchwytów do montażu </w:t>
      </w:r>
      <w:r w:rsidR="00AA3C73">
        <w:rPr>
          <w:rFonts w:ascii="Verdana" w:hAnsi="Verdana" w:cs="Helvetica"/>
          <w:sz w:val="18"/>
          <w:szCs w:val="18"/>
          <w:lang w:val="pl-PL"/>
        </w:rPr>
        <w:t xml:space="preserve">urządzenia </w:t>
      </w:r>
      <w:r>
        <w:rPr>
          <w:rFonts w:ascii="Verdana" w:hAnsi="Verdana" w:cs="Helvetica"/>
          <w:sz w:val="18"/>
          <w:szCs w:val="18"/>
          <w:lang w:val="pl-PL"/>
        </w:rPr>
        <w:t>w szafie 19 cali?</w:t>
      </w:r>
    </w:p>
    <w:p w:rsidR="00A73881" w:rsidRPr="003E4457" w:rsidRDefault="00A73881" w:rsidP="00A73881">
      <w:pPr>
        <w:pStyle w:val="Akapitzlist"/>
        <w:tabs>
          <w:tab w:val="left" w:pos="426"/>
          <w:tab w:val="left" w:pos="3972"/>
        </w:tabs>
        <w:overflowPunct/>
        <w:autoSpaceDE/>
        <w:autoSpaceDN/>
        <w:adjustRightInd/>
        <w:ind w:left="540"/>
        <w:jc w:val="both"/>
        <w:rPr>
          <w:rFonts w:ascii="Verdana" w:hAnsi="Verdana" w:cs="Helvetica"/>
          <w:sz w:val="18"/>
          <w:szCs w:val="18"/>
          <w:lang w:val="pl-PL"/>
        </w:rPr>
      </w:pP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A73881" w:rsidRDefault="00A73881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 w:cs="Verdana"/>
          <w:b/>
          <w:sz w:val="18"/>
          <w:szCs w:val="18"/>
          <w:lang w:val="pl-PL" w:eastAsia="en-US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A73881" w:rsidRPr="00352A06" w:rsidRDefault="00352A06" w:rsidP="00352A06">
      <w:pPr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352A06">
        <w:rPr>
          <w:rFonts w:ascii="Verdana" w:hAnsi="Verdana"/>
          <w:sz w:val="18"/>
          <w:szCs w:val="18"/>
          <w:lang w:val="pl-PL"/>
        </w:rPr>
        <w:t>Zamawiający nie wyraża zgody na zmianę treści SIWZ w ww. zakresie. Zamawiający wymaga aby urządzenie posiadało w komplecie elementy wymagane do montażu urządzenia w szafie 19 cali ze względu na to</w:t>
      </w:r>
      <w:r>
        <w:rPr>
          <w:rFonts w:ascii="Verdana" w:hAnsi="Verdana"/>
          <w:sz w:val="18"/>
          <w:szCs w:val="18"/>
          <w:lang w:val="pl-PL"/>
        </w:rPr>
        <w:t>,</w:t>
      </w:r>
      <w:r w:rsidRPr="00352A06">
        <w:rPr>
          <w:rFonts w:ascii="Verdana" w:hAnsi="Verdana"/>
          <w:sz w:val="18"/>
          <w:szCs w:val="18"/>
          <w:lang w:val="pl-PL"/>
        </w:rPr>
        <w:t xml:space="preserve"> że urządzenie będzie zamontowanie w takiej szafie</w:t>
      </w:r>
      <w:r>
        <w:rPr>
          <w:rFonts w:ascii="Verdana" w:hAnsi="Verdana"/>
          <w:sz w:val="18"/>
          <w:szCs w:val="18"/>
          <w:lang w:val="pl-PL"/>
        </w:rPr>
        <w:t>, posiadanej przez Zamawiającego</w:t>
      </w:r>
      <w:r w:rsidRPr="00352A06">
        <w:rPr>
          <w:rFonts w:ascii="Verdana" w:hAnsi="Verdana"/>
          <w:sz w:val="18"/>
          <w:szCs w:val="18"/>
          <w:lang w:val="pl-PL"/>
        </w:rPr>
        <w:t xml:space="preserve">. </w:t>
      </w:r>
    </w:p>
    <w:p w:rsidR="00352A06" w:rsidRPr="00B951D7" w:rsidRDefault="00352A06" w:rsidP="00352A06">
      <w:pPr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18393A">
        <w:rPr>
          <w:rFonts w:ascii="Verdana" w:hAnsi="Verdana" w:cs="Tahoma"/>
          <w:b/>
          <w:sz w:val="18"/>
          <w:szCs w:val="18"/>
          <w:lang w:val="pl-PL" w:eastAsia="en-US"/>
        </w:rPr>
        <w:t>5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A73881" w:rsidRDefault="00A73881" w:rsidP="00A73881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A73881" w:rsidRDefault="00A73881" w:rsidP="00757DA6">
      <w:pPr>
        <w:pStyle w:val="Akapitzlist"/>
        <w:numPr>
          <w:ilvl w:val="0"/>
          <w:numId w:val="6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dopuszcza, aby maksymalny rozmiar tzw. jumbo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frame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wynosił dokładnie 9000 bajtów?</w:t>
      </w:r>
    </w:p>
    <w:p w:rsidR="00A73881" w:rsidRPr="003E4457" w:rsidRDefault="00A73881" w:rsidP="00A73881">
      <w:pPr>
        <w:pStyle w:val="Akapitzlist"/>
        <w:tabs>
          <w:tab w:val="left" w:pos="426"/>
          <w:tab w:val="left" w:pos="3972"/>
        </w:tabs>
        <w:overflowPunct/>
        <w:autoSpaceDE/>
        <w:autoSpaceDN/>
        <w:adjustRightInd/>
        <w:ind w:left="540"/>
        <w:jc w:val="both"/>
        <w:rPr>
          <w:rFonts w:ascii="Verdana" w:hAnsi="Verdana" w:cs="Helvetica"/>
          <w:sz w:val="18"/>
          <w:szCs w:val="18"/>
          <w:lang w:val="pl-PL"/>
        </w:rPr>
      </w:pP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A73881" w:rsidRPr="00B951D7" w:rsidRDefault="00A73881" w:rsidP="00A73881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F265BD" w:rsidRPr="00C267E0" w:rsidRDefault="00F265BD" w:rsidP="00F265BD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4C173B" w:rsidRDefault="004C173B" w:rsidP="005A0A3E">
      <w:pPr>
        <w:tabs>
          <w:tab w:val="left" w:pos="142"/>
        </w:tabs>
        <w:overflowPunct/>
        <w:autoSpaceDE/>
        <w:autoSpaceDN/>
        <w:adjustRightInd/>
        <w:rPr>
          <w:sz w:val="24"/>
          <w:szCs w:val="24"/>
          <w:lang w:val="pl-PL" w:eastAsia="en-US"/>
        </w:rPr>
      </w:pPr>
    </w:p>
    <w:p w:rsidR="00757DA6" w:rsidRDefault="00757DA6" w:rsidP="00757DA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6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757DA6" w:rsidRDefault="00757DA6" w:rsidP="00757DA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757DA6" w:rsidRDefault="00757DA6" w:rsidP="00AA3C73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after="40"/>
        <w:ind w:left="426" w:hanging="245"/>
        <w:jc w:val="both"/>
        <w:rPr>
          <w:rFonts w:ascii="Verdana" w:hAnsi="Verdana" w:cs="Verdana"/>
          <w:sz w:val="18"/>
          <w:szCs w:val="18"/>
          <w:lang w:val="pl-PL" w:eastAsia="en-US"/>
        </w:rPr>
      </w:pPr>
      <w:r w:rsidRPr="00757DA6">
        <w:rPr>
          <w:rFonts w:ascii="Verdana" w:hAnsi="Verdana" w:cs="Verdana"/>
          <w:sz w:val="18"/>
          <w:szCs w:val="18"/>
          <w:lang w:val="pl-PL" w:eastAsia="en-US"/>
        </w:rPr>
        <w:t>Odpowiedzi Zamawiającego n</w:t>
      </w:r>
      <w:r w:rsidR="00AA3C73">
        <w:rPr>
          <w:rFonts w:ascii="Verdana" w:hAnsi="Verdana" w:cs="Verdana"/>
          <w:sz w:val="18"/>
          <w:szCs w:val="18"/>
          <w:lang w:val="pl-PL" w:eastAsia="en-US"/>
        </w:rPr>
        <w:t xml:space="preserve">r </w:t>
      </w:r>
      <w:r w:rsidRPr="00757DA6">
        <w:rPr>
          <w:rFonts w:ascii="Verdana" w:hAnsi="Verdana" w:cs="Verdana"/>
          <w:sz w:val="18"/>
          <w:szCs w:val="18"/>
          <w:lang w:val="pl-PL" w:eastAsia="en-US"/>
        </w:rPr>
        <w:t>6 „</w:t>
      </w:r>
      <w:r>
        <w:rPr>
          <w:rFonts w:ascii="Verdana" w:hAnsi="Verdana" w:cs="Verdana"/>
          <w:sz w:val="18"/>
          <w:szCs w:val="18"/>
          <w:lang w:val="pl-PL" w:eastAsia="en-US"/>
        </w:rPr>
        <w:t>Konieczność</w:t>
      </w:r>
      <w:r w:rsidRPr="00757DA6">
        <w:rPr>
          <w:rFonts w:ascii="Verdana" w:hAnsi="Verdana" w:cs="Verdana"/>
          <w:sz w:val="18"/>
          <w:szCs w:val="18"/>
          <w:lang w:val="pl-PL" w:eastAsia="en-US"/>
        </w:rPr>
        <w:t xml:space="preserve"> n</w:t>
      </w:r>
      <w:r>
        <w:rPr>
          <w:rFonts w:ascii="Verdana" w:hAnsi="Verdana" w:cs="Verdana"/>
          <w:sz w:val="18"/>
          <w:szCs w:val="18"/>
          <w:lang w:val="pl-PL" w:eastAsia="en-US"/>
        </w:rPr>
        <w:t>apraw podajnika może wynikać z błędów konstrukcyjnych urządzenia w przypadku gdy użytkownik będzie próbował otworzyć podajnik papieru lub nie domknął poprawnie podajnika papieru co spowoduje urwanie/połamanie mechanizmów urządzenia, które blokują podajnik jeśli urządzenie jest wyposażone w takie mechanizmy..”</w:t>
      </w:r>
      <w:r w:rsidR="00586542">
        <w:rPr>
          <w:rFonts w:ascii="Verdana" w:hAnsi="Verdana" w:cs="Verdana"/>
          <w:sz w:val="18"/>
          <w:szCs w:val="18"/>
          <w:lang w:val="pl-PL" w:eastAsia="en-US"/>
        </w:rPr>
        <w:t xml:space="preserve"> d</w:t>
      </w:r>
      <w:r>
        <w:rPr>
          <w:rFonts w:ascii="Verdana" w:hAnsi="Verdana" w:cs="Verdana"/>
          <w:sz w:val="18"/>
          <w:szCs w:val="18"/>
          <w:lang w:val="pl-PL" w:eastAsia="en-US"/>
        </w:rPr>
        <w:t>o zapisu SIWZ „OPZ dla części 2, punkt III, „Inne” punkt 14. „dokonywanie napraw związanych z ewentualnymi uszkodzeniami podajników papieru”.</w:t>
      </w:r>
    </w:p>
    <w:p w:rsidR="00757DA6" w:rsidRDefault="00757DA6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 w:cs="Verdana"/>
          <w:sz w:val="18"/>
          <w:szCs w:val="18"/>
          <w:lang w:val="pl-PL" w:eastAsia="en-US"/>
        </w:rPr>
      </w:pPr>
    </w:p>
    <w:p w:rsidR="00757DA6" w:rsidRDefault="00757DA6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 w:cs="Verdana"/>
          <w:sz w:val="18"/>
          <w:szCs w:val="18"/>
          <w:lang w:val="pl-PL" w:eastAsia="en-US"/>
        </w:rPr>
      </w:pPr>
      <w:r>
        <w:rPr>
          <w:rFonts w:ascii="Verdana" w:hAnsi="Verdana" w:cs="Verdana"/>
          <w:sz w:val="18"/>
          <w:szCs w:val="18"/>
          <w:lang w:val="pl-PL" w:eastAsia="en-US"/>
        </w:rPr>
        <w:t>Bardzo proszę o dokładniejsze wytłumaczenie powyż</w:t>
      </w:r>
      <w:r w:rsidR="00586542">
        <w:rPr>
          <w:rFonts w:ascii="Verdana" w:hAnsi="Verdana" w:cs="Verdana"/>
          <w:sz w:val="18"/>
          <w:szCs w:val="18"/>
          <w:lang w:val="pl-PL" w:eastAsia="en-US"/>
        </w:rPr>
        <w:t>szej odpowiedzi. Uszkodzenie poprzez nieprawidłowe zamknięcie kasety przez użytkownika nie wynika z błędu konstrukcyjnego urządzenia tylko z niewłaściwego użytkowania. Na tego typu uszkodzenia nie mają wpływu kwestie zużycia poszczególnych elementów dlatego koszty te nie powinny obciążać dostawcy</w:t>
      </w:r>
      <w:r w:rsidR="00AA3C73">
        <w:rPr>
          <w:rFonts w:ascii="Verdana" w:hAnsi="Verdana" w:cs="Verdana"/>
          <w:sz w:val="18"/>
          <w:szCs w:val="18"/>
          <w:lang w:val="pl-PL" w:eastAsia="en-US"/>
        </w:rPr>
        <w:t>.</w:t>
      </w:r>
      <w:r w:rsidR="00586542">
        <w:rPr>
          <w:rFonts w:ascii="Verdana" w:hAnsi="Verdana" w:cs="Verdana"/>
          <w:sz w:val="18"/>
          <w:szCs w:val="18"/>
          <w:lang w:val="pl-PL" w:eastAsia="en-US"/>
        </w:rPr>
        <w:t xml:space="preserve"> Zwracam się z prośba o wykreślenie tego zapisu z SIWZ.</w:t>
      </w:r>
    </w:p>
    <w:p w:rsidR="00586542" w:rsidRPr="00757DA6" w:rsidRDefault="00586542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 w:cs="Verdana"/>
          <w:sz w:val="18"/>
          <w:szCs w:val="18"/>
          <w:lang w:val="pl-PL" w:eastAsia="en-US"/>
        </w:rPr>
      </w:pPr>
    </w:p>
    <w:p w:rsidR="00757DA6" w:rsidRPr="00B951D7" w:rsidRDefault="00757DA6" w:rsidP="00757DA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586542" w:rsidRDefault="00586542" w:rsidP="00586542">
      <w:pPr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352A06">
        <w:rPr>
          <w:rFonts w:ascii="Verdana" w:hAnsi="Verdana"/>
          <w:sz w:val="18"/>
          <w:szCs w:val="18"/>
          <w:lang w:val="pl-PL"/>
        </w:rPr>
        <w:t xml:space="preserve">Zamawiający nie wyraża zgody na zmianę treści SIWZ w ww. zakresie. </w:t>
      </w:r>
      <w:r>
        <w:rPr>
          <w:rFonts w:ascii="Verdana" w:hAnsi="Verdana"/>
          <w:sz w:val="18"/>
          <w:szCs w:val="18"/>
          <w:lang w:val="pl-PL"/>
        </w:rPr>
        <w:t>Zapis wynika z doświadczeń Zamawiającego w zakresie użytkowania tego typu urządzeń. Zamawiający aktualnie posiada 4 różne modele tego typu urządzeń. W jednym z nowszym modelu, w obu posiadanych przez Zamawiającego urządzeniach wystąpiły w okresie gwarancji usterki podajnika papieru. Urządzenia są obsługiwane przez różne osoby. Osoby te obsługują różne modele urządzeń.</w:t>
      </w:r>
    </w:p>
    <w:p w:rsidR="00586542" w:rsidRDefault="00586542" w:rsidP="00586542">
      <w:pPr>
        <w:ind w:left="181"/>
        <w:jc w:val="both"/>
        <w:rPr>
          <w:rFonts w:ascii="Verdana" w:hAnsi="Verdana"/>
          <w:sz w:val="18"/>
          <w:szCs w:val="18"/>
          <w:lang w:val="pl-PL"/>
        </w:rPr>
      </w:pPr>
    </w:p>
    <w:p w:rsidR="00830606" w:rsidRDefault="00830606" w:rsidP="0083060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7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830606" w:rsidRDefault="00830606" w:rsidP="0083060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830606" w:rsidRDefault="00830606" w:rsidP="00830606">
      <w:pPr>
        <w:pStyle w:val="Akapitzlist"/>
        <w:numPr>
          <w:ilvl w:val="0"/>
          <w:numId w:val="10"/>
        </w:numPr>
        <w:tabs>
          <w:tab w:val="left" w:pos="851"/>
          <w:tab w:val="left" w:pos="3972"/>
        </w:tabs>
        <w:overflowPunct/>
        <w:autoSpaceDE/>
        <w:autoSpaceDN/>
        <w:adjustRightInd/>
        <w:ind w:left="181" w:firstLine="386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zamawiający dopuści komputer który posiada gniazdo audio: panel przedni: port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combo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(słuchawki i mikrofon). Panel tylny  - audio out?</w:t>
      </w:r>
    </w:p>
    <w:p w:rsidR="00830606" w:rsidRPr="003E4457" w:rsidRDefault="00830606" w:rsidP="00830606">
      <w:pPr>
        <w:pStyle w:val="Akapitzlist"/>
        <w:tabs>
          <w:tab w:val="left" w:pos="426"/>
          <w:tab w:val="left" w:pos="3972"/>
        </w:tabs>
        <w:overflowPunct/>
        <w:autoSpaceDE/>
        <w:autoSpaceDN/>
        <w:adjustRightInd/>
        <w:ind w:left="540"/>
        <w:jc w:val="both"/>
        <w:rPr>
          <w:rFonts w:ascii="Verdana" w:hAnsi="Verdana" w:cs="Helvetica"/>
          <w:sz w:val="18"/>
          <w:szCs w:val="18"/>
          <w:lang w:val="pl-PL"/>
        </w:rPr>
      </w:pP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830606" w:rsidRPr="00B951D7" w:rsidRDefault="00830606" w:rsidP="0083060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830606" w:rsidRDefault="00830606" w:rsidP="00830606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r>
        <w:rPr>
          <w:rFonts w:ascii="Verdana" w:hAnsi="Verdana"/>
          <w:sz w:val="18"/>
          <w:szCs w:val="18"/>
          <w:lang w:val="pl-PL"/>
        </w:rPr>
        <w:t>Zmawiający dokonał w dniu 21.10.2016 zmiany treści SIWZ</w:t>
      </w:r>
      <w:r w:rsidRPr="00C267E0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 w:eastAsia="en-US"/>
        </w:rPr>
        <w:t>Zaoferowany komputer musi spełniać minimalne wymagania określone w OPZ.</w:t>
      </w:r>
    </w:p>
    <w:p w:rsidR="00830606" w:rsidRPr="00C267E0" w:rsidRDefault="00830606" w:rsidP="0083060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</w:p>
    <w:p w:rsidR="00830606" w:rsidRDefault="00830606" w:rsidP="0083060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8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830606" w:rsidRDefault="00830606" w:rsidP="00830606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830606" w:rsidRPr="00830606" w:rsidRDefault="00830606" w:rsidP="00F93803">
      <w:pPr>
        <w:pStyle w:val="Akapitzlist"/>
        <w:numPr>
          <w:ilvl w:val="0"/>
          <w:numId w:val="10"/>
        </w:numPr>
        <w:tabs>
          <w:tab w:val="left" w:pos="851"/>
          <w:tab w:val="left" w:pos="3972"/>
        </w:tabs>
        <w:overflowPunct/>
        <w:autoSpaceDE/>
        <w:autoSpaceDN/>
        <w:adjustRightInd/>
        <w:ind w:left="181" w:firstLine="386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zamawiający dopuści komputer w którym, zgodnie z nowymi standardami bezpieczeństwa w Microsoft klucz licencyjny zaszyty jest w BIOS płyty głównej? (ponowna instalacja wymaga wtedy tylko zgodnego nośnika dostarczonego wraz z maszyną).</w:t>
      </w:r>
    </w:p>
    <w:p w:rsidR="00830606" w:rsidRPr="003E4457" w:rsidRDefault="00830606" w:rsidP="00830606">
      <w:pPr>
        <w:pStyle w:val="Akapitzlist"/>
        <w:tabs>
          <w:tab w:val="left" w:pos="426"/>
          <w:tab w:val="left" w:pos="3972"/>
        </w:tabs>
        <w:overflowPunct/>
        <w:autoSpaceDE/>
        <w:autoSpaceDN/>
        <w:adjustRightInd/>
        <w:ind w:left="540"/>
        <w:jc w:val="both"/>
        <w:rPr>
          <w:rFonts w:ascii="Verdana" w:hAnsi="Verdana" w:cs="Helvetica"/>
          <w:sz w:val="18"/>
          <w:szCs w:val="18"/>
          <w:lang w:val="pl-PL"/>
        </w:rPr>
      </w:pP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830606" w:rsidRPr="00B951D7" w:rsidRDefault="00830606" w:rsidP="00830606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DB2E7F" w:rsidRPr="002478B4" w:rsidRDefault="002478B4" w:rsidP="002478B4">
      <w:pPr>
        <w:overflowPunct/>
        <w:autoSpaceDE/>
        <w:autoSpaceDN/>
        <w:adjustRightInd/>
        <w:ind w:left="181"/>
        <w:jc w:val="both"/>
        <w:rPr>
          <w:rFonts w:ascii="Verdana" w:hAnsi="Verdana"/>
          <w:sz w:val="24"/>
          <w:szCs w:val="24"/>
          <w:lang w:val="pl-PL" w:eastAsia="en-US"/>
        </w:rPr>
      </w:pPr>
      <w:r w:rsidRPr="002478B4">
        <w:rPr>
          <w:rFonts w:ascii="Verdana" w:hAnsi="Verdana"/>
          <w:sz w:val="18"/>
          <w:szCs w:val="18"/>
          <w:lang w:val="pl-PL" w:eastAsia="en-US"/>
        </w:rPr>
        <w:t xml:space="preserve">Zaoferowany komputer musi spełniać minimalne wymagania określone w OPZ. </w:t>
      </w:r>
      <w:r w:rsidRPr="002478B4">
        <w:rPr>
          <w:rFonts w:ascii="Verdana" w:hAnsi="Verdana"/>
          <w:sz w:val="18"/>
          <w:szCs w:val="18"/>
          <w:lang w:val="pl-PL"/>
        </w:rPr>
        <w:t>Zamawiający nie określił w OPZ formy w jakiej ma być dostarczony klucz licencyjny.</w:t>
      </w:r>
    </w:p>
    <w:p w:rsidR="00757DA6" w:rsidRDefault="00757DA6" w:rsidP="005C3C03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9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Pr="00C267E0" w:rsidRDefault="00BA0E6A" w:rsidP="00BA0E6A">
      <w:pPr>
        <w:pStyle w:val="Akapitzlist"/>
        <w:numPr>
          <w:ilvl w:val="0"/>
          <w:numId w:val="13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 do użytkowania klienta do zestawiania tuneli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client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to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site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ze zintegrowanym firewallem i możliwością centralnej konfiguracji ustawień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firewalla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ze wsparciem </w:t>
      </w:r>
      <w:r w:rsidRPr="00C267E0">
        <w:rPr>
          <w:rFonts w:ascii="Verdana" w:hAnsi="Verdana" w:cs="Helvetica"/>
          <w:sz w:val="18"/>
          <w:szCs w:val="18"/>
          <w:lang w:val="pl-PL"/>
        </w:rPr>
        <w:t xml:space="preserve">dla funkcji ESET </w:t>
      </w:r>
      <w:proofErr w:type="spellStart"/>
      <w:r w:rsidRPr="00C267E0">
        <w:rPr>
          <w:rFonts w:ascii="Verdana" w:hAnsi="Verdana" w:cs="Helvetica"/>
          <w:sz w:val="18"/>
          <w:szCs w:val="18"/>
          <w:lang w:val="pl-PL"/>
        </w:rPr>
        <w:t>Secure</w:t>
      </w:r>
      <w:proofErr w:type="spellEnd"/>
      <w:r w:rsidRPr="00C267E0">
        <w:rPr>
          <w:rFonts w:ascii="Verdana" w:hAnsi="Verdana" w:cs="Helvetica"/>
          <w:sz w:val="18"/>
          <w:szCs w:val="18"/>
          <w:lang w:val="pl-PL"/>
        </w:rPr>
        <w:t xml:space="preserve"> </w:t>
      </w:r>
      <w:proofErr w:type="spellStart"/>
      <w:r w:rsidRPr="00C267E0">
        <w:rPr>
          <w:rFonts w:ascii="Verdana" w:hAnsi="Verdana" w:cs="Helvetica"/>
          <w:sz w:val="18"/>
          <w:szCs w:val="18"/>
          <w:lang w:val="pl-PL"/>
        </w:rPr>
        <w:t>Authentication</w:t>
      </w:r>
      <w:proofErr w:type="spellEnd"/>
      <w:r w:rsidRPr="00C267E0">
        <w:rPr>
          <w:rFonts w:ascii="Verdana" w:hAnsi="Verdana" w:cs="Helvetica"/>
          <w:sz w:val="18"/>
          <w:szCs w:val="18"/>
          <w:lang w:val="pl-PL"/>
        </w:rPr>
        <w:t xml:space="preserve"> tylko dla systemu Windows? </w:t>
      </w:r>
    </w:p>
    <w:p w:rsidR="00BA0E6A" w:rsidRPr="001F1EC4" w:rsidRDefault="00BA0E6A" w:rsidP="00BA0E6A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BA0E6A" w:rsidRPr="00B951D7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BA0E6A" w:rsidRPr="00C267E0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Na pytanie została już udzielona odpowiedź</w:t>
      </w:r>
      <w:r w:rsidR="0084408D">
        <w:rPr>
          <w:rFonts w:ascii="Verdana" w:hAnsi="Verdana"/>
          <w:sz w:val="18"/>
          <w:szCs w:val="18"/>
          <w:lang w:val="pl-PL"/>
        </w:rPr>
        <w:t xml:space="preserve"> w pytaniu 1.</w:t>
      </w:r>
    </w:p>
    <w:p w:rsidR="00BA0E6A" w:rsidRDefault="00BA0E6A" w:rsidP="005C3C03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10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Pr="003E4457" w:rsidRDefault="00BA0E6A" w:rsidP="00BA0E6A">
      <w:pPr>
        <w:pStyle w:val="Akapitzlist"/>
        <w:numPr>
          <w:ilvl w:val="0"/>
          <w:numId w:val="13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klient dopuszcza funkcję IPS i IDS wraz z aktualizacją sygnatur ale bez możliwości tworzenia własnych sygnatur?</w:t>
      </w:r>
      <w:r w:rsidRPr="003E4457">
        <w:rPr>
          <w:rFonts w:ascii="Verdana" w:hAnsi="Verdana" w:cs="Helvetica"/>
          <w:sz w:val="18"/>
          <w:szCs w:val="18"/>
          <w:lang w:val="pl-PL"/>
        </w:rPr>
        <w:t xml:space="preserve"> </w:t>
      </w:r>
    </w:p>
    <w:p w:rsidR="00BA0E6A" w:rsidRPr="00BA0E6A" w:rsidRDefault="00BA0E6A" w:rsidP="00BA0E6A">
      <w:pPr>
        <w:tabs>
          <w:tab w:val="left" w:pos="426"/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BA0E6A" w:rsidRPr="00B951D7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BA0E6A" w:rsidRPr="00C267E0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Na pytanie została udzielona odpowiedź</w:t>
      </w:r>
      <w:r w:rsidR="0084408D">
        <w:rPr>
          <w:rFonts w:ascii="Verdana" w:hAnsi="Verdana"/>
          <w:sz w:val="18"/>
          <w:szCs w:val="18"/>
          <w:lang w:val="pl-PL"/>
        </w:rPr>
        <w:t xml:space="preserve"> w pytaniu 2.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11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Pr="003E4457" w:rsidRDefault="00BA0E6A" w:rsidP="00BA0E6A">
      <w:pPr>
        <w:pStyle w:val="Akapitzlist"/>
        <w:numPr>
          <w:ilvl w:val="0"/>
          <w:numId w:val="10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dopuszcza, aby rozwiązanie nie spełniało standardu ISO 15408 CC na poziomie EAL4+ ? </w:t>
      </w:r>
    </w:p>
    <w:p w:rsidR="00BA0E6A" w:rsidRPr="00BA0E6A" w:rsidRDefault="00BA0E6A" w:rsidP="00BA0E6A">
      <w:pPr>
        <w:tabs>
          <w:tab w:val="left" w:pos="426"/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BA0E6A" w:rsidRPr="00B951D7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BA0E6A" w:rsidRPr="00C267E0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Na pytanie została udzielona odpowiedź</w:t>
      </w:r>
      <w:r w:rsidR="0084408D">
        <w:rPr>
          <w:rFonts w:ascii="Verdana" w:hAnsi="Verdana"/>
          <w:sz w:val="18"/>
          <w:szCs w:val="18"/>
          <w:lang w:val="pl-PL"/>
        </w:rPr>
        <w:t xml:space="preserve"> w pytaniu 3.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12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Default="00BA0E6A" w:rsidP="00BA0E6A">
      <w:pPr>
        <w:pStyle w:val="Akapitzlist"/>
        <w:numPr>
          <w:ilvl w:val="0"/>
          <w:numId w:val="21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klient dopuszcza dostarczenie urządzenia bez uchwytów do montażu urządzenia w szafie 19 cali?</w:t>
      </w:r>
    </w:p>
    <w:p w:rsidR="00BA0E6A" w:rsidRPr="00BA0E6A" w:rsidRDefault="00BA0E6A" w:rsidP="00BA0E6A">
      <w:pPr>
        <w:tabs>
          <w:tab w:val="left" w:pos="426"/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BA0E6A" w:rsidRPr="00B951D7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BA0E6A" w:rsidRPr="00C267E0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Na pytanie została udzielona odpowiedź</w:t>
      </w:r>
      <w:r w:rsidR="0084408D">
        <w:rPr>
          <w:rFonts w:ascii="Verdana" w:hAnsi="Verdana"/>
          <w:sz w:val="18"/>
          <w:szCs w:val="18"/>
          <w:lang w:val="pl-PL"/>
        </w:rPr>
        <w:t xml:space="preserve"> w pytaniu 4.</w:t>
      </w:r>
    </w:p>
    <w:p w:rsidR="00BA0E6A" w:rsidRDefault="00BA0E6A" w:rsidP="005C3C03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13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BA0E6A" w:rsidRDefault="00BA0E6A" w:rsidP="00BA0E6A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BA0E6A" w:rsidRDefault="00BA0E6A" w:rsidP="00BA0E6A">
      <w:pPr>
        <w:pStyle w:val="Akapitzlist"/>
        <w:numPr>
          <w:ilvl w:val="0"/>
          <w:numId w:val="22"/>
        </w:numPr>
        <w:tabs>
          <w:tab w:val="left" w:pos="426"/>
          <w:tab w:val="left" w:pos="3972"/>
        </w:tabs>
        <w:overflowPunct/>
        <w:autoSpaceDE/>
        <w:autoSpaceDN/>
        <w:adjustRightInd/>
        <w:ind w:left="181" w:firstLine="0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Czy klient dopuszcza, aby maksymalny rozmiar tzw. jumbo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frame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wynosił dokładnie 9000 bajtów?</w:t>
      </w:r>
    </w:p>
    <w:p w:rsidR="00BA0E6A" w:rsidRPr="00BA0E6A" w:rsidRDefault="00BA0E6A" w:rsidP="00BA0E6A">
      <w:pPr>
        <w:tabs>
          <w:tab w:val="left" w:pos="426"/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BA0E6A" w:rsidRPr="00B951D7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BA0E6A" w:rsidRPr="00C267E0" w:rsidRDefault="00BA0E6A" w:rsidP="00BA0E6A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Na pytanie została udzielona odpowiedź</w:t>
      </w:r>
      <w:r w:rsidR="0084408D">
        <w:rPr>
          <w:rFonts w:ascii="Verdana" w:hAnsi="Verdana"/>
          <w:sz w:val="18"/>
          <w:szCs w:val="18"/>
          <w:lang w:val="pl-PL"/>
        </w:rPr>
        <w:t xml:space="preserve"> w pytaniu 5.</w:t>
      </w:r>
    </w:p>
    <w:p w:rsidR="00BA0E6A" w:rsidRDefault="00BA0E6A" w:rsidP="001F1EC4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1EC4" w:rsidRDefault="001F1EC4" w:rsidP="001F1EC4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 w:rsidR="00BA0E6A">
        <w:rPr>
          <w:rFonts w:ascii="Verdana" w:hAnsi="Verdana" w:cs="Tahoma"/>
          <w:b/>
          <w:sz w:val="18"/>
          <w:szCs w:val="18"/>
          <w:lang w:val="pl-PL" w:eastAsia="en-US"/>
        </w:rPr>
        <w:t>14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1F1EC4" w:rsidRDefault="001F1EC4" w:rsidP="001F1EC4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1EC4" w:rsidRDefault="001F1EC4" w:rsidP="001F1EC4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Czy w związku, z pojawiającymi się pytaniami odnośnie treści SIWZ, jest możliwość przesunięcia terminu składania ofert o kolejny dzień.</w:t>
      </w:r>
    </w:p>
    <w:p w:rsidR="001F1EC4" w:rsidRPr="001F1EC4" w:rsidRDefault="001F1EC4" w:rsidP="001F1EC4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1F1EC4" w:rsidRPr="00B951D7" w:rsidRDefault="001F1EC4" w:rsidP="001F1EC4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1EC4" w:rsidRPr="00C267E0" w:rsidRDefault="001F1EC4" w:rsidP="001F1EC4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15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W części 1 dla komputera stacjonarnego Zamawiający wymaga w pozycji 8. Ergonomia: głośność w teście ODD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load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maksymalnie 35dB. –</w:t>
      </w: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 xml:space="preserve">Pragniemy zauważyć, że w określonej przez Zamawiającego konfiguracji nie ma wymagań co do napędu optycznego, zatem wymóg głośności określonej jako ODD 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load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(pomiar dla komputera z pracującym napędem optycznym) jest nieuzasadniony, a wręcz niemierzalny (brak możliwości zmierzenia głośności komputera z pracującym napędem optycznym, ponieważ komputer nie posiada takiego napędu).</w:t>
      </w: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lastRenderedPageBreak/>
        <w:t>Czy Zamawiający dopuści do zaoferowania komputery posiadające głośność na poziomie do 26 </w:t>
      </w:r>
      <w:proofErr w:type="spellStart"/>
      <w:r>
        <w:rPr>
          <w:rFonts w:ascii="Verdana" w:hAnsi="Verdana" w:cs="Helvetica"/>
          <w:sz w:val="18"/>
          <w:szCs w:val="18"/>
          <w:lang w:val="pl-PL"/>
        </w:rPr>
        <w:t>dB</w:t>
      </w:r>
      <w:proofErr w:type="spellEnd"/>
      <w:r>
        <w:rPr>
          <w:rFonts w:ascii="Verdana" w:hAnsi="Verdana" w:cs="Helvetica"/>
          <w:sz w:val="18"/>
          <w:szCs w:val="18"/>
          <w:lang w:val="pl-PL"/>
        </w:rPr>
        <w:t xml:space="preserve"> mierzonych w trybie IDLE mierzonej i wykazanej zgodnie z normami ISO 7779 oraz ISO 9296?</w:t>
      </w:r>
    </w:p>
    <w:p w:rsidR="000C0999" w:rsidRPr="001F1EC4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0C0999" w:rsidRPr="00B951D7" w:rsidRDefault="000C0999" w:rsidP="000C0999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0C0999" w:rsidRPr="00C267E0" w:rsidRDefault="000C0999" w:rsidP="000C0999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Verdana" w:hAnsi="Verdana"/>
          <w:sz w:val="18"/>
          <w:szCs w:val="18"/>
          <w:lang w:val="pl-PL"/>
        </w:rPr>
      </w:pPr>
      <w:r w:rsidRPr="00C267E0">
        <w:rPr>
          <w:rFonts w:ascii="Verdana" w:hAnsi="Verdana"/>
          <w:sz w:val="18"/>
          <w:szCs w:val="18"/>
          <w:lang w:val="pl-PL"/>
        </w:rPr>
        <w:t>Zamawiający dokona zmiany SIWZ.</w:t>
      </w: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</w:t>
      </w:r>
      <w:r>
        <w:rPr>
          <w:rFonts w:ascii="Verdana" w:hAnsi="Verdana" w:cs="Tahoma"/>
          <w:b/>
          <w:sz w:val="18"/>
          <w:szCs w:val="18"/>
          <w:lang w:val="pl-PL" w:eastAsia="en-US"/>
        </w:rPr>
        <w:t>16</w:t>
      </w:r>
      <w:r w:rsidRPr="00B951D7">
        <w:rPr>
          <w:rFonts w:ascii="Verdana" w:hAnsi="Verdana" w:cs="Tahoma"/>
          <w:b/>
          <w:sz w:val="18"/>
          <w:szCs w:val="18"/>
          <w:lang w:val="pl-PL" w:eastAsia="en-US"/>
        </w:rPr>
        <w:t xml:space="preserve">. </w:t>
      </w:r>
    </w:p>
    <w:p w:rsidR="000C0999" w:rsidRDefault="000C0999" w:rsidP="000C0999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W części 1 dla komputera stacjonarnego Zamawiający wymaga w pozycji 14. Wymagania dodatkowe pkt 20. Komputer na obudowie musi być trwale oznaczony przez producenta symbolem modelu i niepowtarzalnym numerem seryjnym.</w:t>
      </w:r>
    </w:p>
    <w:p w:rsidR="000C0999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  <w:r>
        <w:rPr>
          <w:rFonts w:ascii="Verdana" w:hAnsi="Verdana" w:cs="Helvetica"/>
          <w:sz w:val="18"/>
          <w:szCs w:val="18"/>
          <w:lang w:val="pl-PL"/>
        </w:rPr>
        <w:t>Pragniemy zauważyć, że standardem jest oznaczenie o wymagane dane urządzeń przy użyciu odpowiednich naklejek z nieścieralnym bądź trudnościeralnym oznaczeniem. Naklejki te nie są jednakże elementem którego nie da się przy odpowiednim wkładzie pracy usunąć z urządzenia, bądź zniszczyć. Zatem czy Zamawiającemu chodzi o to, aby urządzenie było oznaczone i zabezpieczone w taki sp</w:t>
      </w:r>
      <w:r w:rsidR="00256DD3">
        <w:rPr>
          <w:rFonts w:ascii="Verdana" w:hAnsi="Verdana" w:cs="Helvetica"/>
          <w:sz w:val="18"/>
          <w:szCs w:val="18"/>
          <w:lang w:val="pl-PL"/>
        </w:rPr>
        <w:t>osób, któr</w:t>
      </w:r>
      <w:r>
        <w:rPr>
          <w:rFonts w:ascii="Verdana" w:hAnsi="Verdana" w:cs="Helvetica"/>
          <w:sz w:val="18"/>
          <w:szCs w:val="18"/>
          <w:lang w:val="pl-PL"/>
        </w:rPr>
        <w:t>y zapewni trwałość zapisanych danych przy standardowej eksploatacji komputera (np. zapobieganie ścieraniu oznaczeń przy operacjach sprzątania</w:t>
      </w:r>
      <w:r w:rsidR="00256DD3">
        <w:rPr>
          <w:rFonts w:ascii="Verdana" w:hAnsi="Verdana" w:cs="Helvetica"/>
          <w:sz w:val="18"/>
          <w:szCs w:val="18"/>
          <w:lang w:val="pl-PL"/>
        </w:rPr>
        <w:t>)</w:t>
      </w:r>
    </w:p>
    <w:p w:rsidR="000C0999" w:rsidRPr="001F1EC4" w:rsidRDefault="000C0999" w:rsidP="000C0999">
      <w:pPr>
        <w:tabs>
          <w:tab w:val="left" w:pos="426"/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0C0999" w:rsidRPr="00B951D7" w:rsidRDefault="000C0999" w:rsidP="00256DD3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B951D7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0C0999" w:rsidRPr="00256DD3" w:rsidRDefault="000C0999" w:rsidP="00256DD3">
      <w:pPr>
        <w:overflowPunct/>
        <w:autoSpaceDE/>
        <w:autoSpaceDN/>
        <w:adjustRightInd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256DD3" w:rsidRPr="00256DD3" w:rsidRDefault="00256DD3" w:rsidP="00256DD3">
      <w:pPr>
        <w:overflowPunct/>
        <w:autoSpaceDE/>
        <w:autoSpaceDN/>
        <w:adjustRightInd/>
        <w:ind w:left="181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256DD3">
        <w:rPr>
          <w:rFonts w:ascii="Verdana" w:hAnsi="Verdana" w:cs="Tahoma"/>
          <w:sz w:val="18"/>
          <w:szCs w:val="18"/>
          <w:lang w:val="pl-PL" w:eastAsia="en-US"/>
        </w:rPr>
        <w:t>Przez trwałe oznaczenie Zamawiający rozumie, takie oznaczenie którego nie można zniszczyć przy standardowej eksploatacji komputera stacjonarnego.</w:t>
      </w:r>
      <w:r>
        <w:rPr>
          <w:rFonts w:ascii="Verdana" w:hAnsi="Verdana" w:cs="Tahoma"/>
          <w:sz w:val="18"/>
          <w:szCs w:val="18"/>
          <w:lang w:val="pl-PL" w:eastAsia="en-US"/>
        </w:rPr>
        <w:t xml:space="preserve"> Oznaczenie to również nie może samoistnie odpadać lub ulegać zatarciu na skutek </w:t>
      </w:r>
      <w:r w:rsidRPr="00256DD3">
        <w:rPr>
          <w:rFonts w:ascii="Verdana" w:hAnsi="Verdana" w:cs="Tahoma"/>
          <w:sz w:val="18"/>
          <w:szCs w:val="18"/>
          <w:lang w:val="pl-PL" w:eastAsia="en-US"/>
        </w:rPr>
        <w:t>standardowej eksploatacji komputera stacjonarnego</w:t>
      </w:r>
      <w:r>
        <w:rPr>
          <w:rFonts w:ascii="Verdana" w:hAnsi="Verdana" w:cs="Tahoma"/>
          <w:sz w:val="18"/>
          <w:szCs w:val="18"/>
          <w:lang w:val="pl-PL" w:eastAsia="en-US"/>
        </w:rPr>
        <w:t>.</w:t>
      </w:r>
    </w:p>
    <w:p w:rsidR="000C0999" w:rsidRPr="005C3C03" w:rsidRDefault="000C0999" w:rsidP="005C3C03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84408D" w:rsidRPr="00EF2A57" w:rsidRDefault="0084408D" w:rsidP="0084408D">
      <w:pPr>
        <w:overflowPunct/>
        <w:autoSpaceDE/>
        <w:autoSpaceDN/>
        <w:adjustRightInd/>
        <w:spacing w:after="200"/>
        <w:ind w:left="6372" w:firstLine="708"/>
        <w:rPr>
          <w:rFonts w:ascii="Tahoma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>Zatwierdził:</w:t>
      </w:r>
    </w:p>
    <w:p w:rsidR="0084408D" w:rsidRPr="00EF2A57" w:rsidRDefault="0084408D" w:rsidP="0084408D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  <w:t xml:space="preserve">  Kierownik</w:t>
      </w:r>
    </w:p>
    <w:p w:rsidR="0084408D" w:rsidRPr="00EF2A57" w:rsidRDefault="0084408D" w:rsidP="0084408D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</w:r>
      <w:r>
        <w:rPr>
          <w:rFonts w:ascii="Tahoma" w:hAnsi="Tahoma" w:cs="Tahoma"/>
          <w:sz w:val="16"/>
          <w:szCs w:val="16"/>
          <w:lang w:val="pl-PL" w:eastAsia="en-US"/>
        </w:rPr>
        <w:t xml:space="preserve">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Działu </w:t>
      </w:r>
      <w:proofErr w:type="spellStart"/>
      <w:r w:rsidRPr="00EF2A57">
        <w:rPr>
          <w:rFonts w:ascii="Tahoma" w:hAnsi="Tahoma" w:cs="Tahoma"/>
          <w:sz w:val="16"/>
          <w:szCs w:val="16"/>
          <w:lang w:val="pl-PL" w:eastAsia="en-US"/>
        </w:rPr>
        <w:t>Organizacyjno</w:t>
      </w:r>
      <w:proofErr w:type="spellEnd"/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– Administracyjnego</w:t>
      </w:r>
    </w:p>
    <w:p w:rsidR="0084408D" w:rsidRPr="002478B4" w:rsidRDefault="0084408D" w:rsidP="0084408D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eastAsia="Calibri" w:hAnsi="Tahoma" w:cs="Tahoma"/>
          <w:sz w:val="16"/>
          <w:szCs w:val="16"/>
          <w:lang w:val="pl-PL" w:eastAsia="en-US"/>
        </w:rPr>
      </w:pP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                                                                                  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ab/>
        <w:t xml:space="preserve">                    </w:t>
      </w:r>
      <w:r>
        <w:rPr>
          <w:rFonts w:ascii="Tahoma" w:hAnsi="Tahoma" w:cs="Tahoma"/>
          <w:sz w:val="16"/>
          <w:szCs w:val="16"/>
          <w:lang w:val="pl-PL" w:eastAsia="en-US"/>
        </w:rPr>
        <w:t xml:space="preserve">                   </w:t>
      </w:r>
      <w:r w:rsidRPr="00EF2A57">
        <w:rPr>
          <w:rFonts w:ascii="Tahoma" w:hAnsi="Tahoma" w:cs="Tahoma"/>
          <w:sz w:val="16"/>
          <w:szCs w:val="16"/>
          <w:lang w:val="pl-PL" w:eastAsia="en-US"/>
        </w:rPr>
        <w:t xml:space="preserve">  Dorota Klaus</w:t>
      </w: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  <w:bookmarkStart w:id="0" w:name="_GoBack"/>
      <w:bookmarkEnd w:id="0"/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EE" w:rsidRDefault="004207EE">
      <w:r>
        <w:separator/>
      </w:r>
    </w:p>
  </w:endnote>
  <w:endnote w:type="continuationSeparator" w:id="0">
    <w:p w:rsidR="004207EE" w:rsidRDefault="004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EE" w:rsidRDefault="004207EE">
      <w:r>
        <w:separator/>
      </w:r>
    </w:p>
  </w:footnote>
  <w:footnote w:type="continuationSeparator" w:id="0">
    <w:p w:rsidR="004207EE" w:rsidRDefault="0042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D4D1A1A" wp14:editId="51EF394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7EE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50" DrawAspect="Content" ObjectID="_1538908645" r:id="rId3"/>
      </w:pict>
    </w:r>
    <w:r>
      <w:rPr>
        <w:noProof/>
        <w:lang w:eastAsia="pl-PL"/>
      </w:rPr>
      <w:drawing>
        <wp:inline distT="0" distB="0" distL="0" distR="0" wp14:anchorId="6176215A" wp14:editId="0BEA667F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41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szCs w:val="20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ahoma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F4D77"/>
    <w:multiLevelType w:val="hybridMultilevel"/>
    <w:tmpl w:val="18328B38"/>
    <w:lvl w:ilvl="0" w:tplc="22104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CA5A00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F047FE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07238D"/>
    <w:multiLevelType w:val="hybridMultilevel"/>
    <w:tmpl w:val="536CC9B2"/>
    <w:lvl w:ilvl="0" w:tplc="8F204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0D637F"/>
    <w:multiLevelType w:val="hybridMultilevel"/>
    <w:tmpl w:val="0EBA5D84"/>
    <w:lvl w:ilvl="0" w:tplc="6BC0FDB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2831222B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376617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0F504D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9327DDC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CD626FF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04138A1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21E3715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5731011"/>
    <w:multiLevelType w:val="hybridMultilevel"/>
    <w:tmpl w:val="03AAFA66"/>
    <w:lvl w:ilvl="0" w:tplc="247E3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CF933E0"/>
    <w:multiLevelType w:val="hybridMultilevel"/>
    <w:tmpl w:val="A864A67E"/>
    <w:lvl w:ilvl="0" w:tplc="1D1C2E0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752A9"/>
    <w:multiLevelType w:val="hybridMultilevel"/>
    <w:tmpl w:val="03AAFA66"/>
    <w:lvl w:ilvl="0" w:tplc="247E3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532D4"/>
    <w:multiLevelType w:val="hybridMultilevel"/>
    <w:tmpl w:val="5456BB8A"/>
    <w:lvl w:ilvl="0" w:tplc="8040AD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F6D13"/>
    <w:multiLevelType w:val="hybridMultilevel"/>
    <w:tmpl w:val="C5CC9528"/>
    <w:lvl w:ilvl="0" w:tplc="6C30CCE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5AFE2010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>
    <w:nsid w:val="7454020D"/>
    <w:multiLevelType w:val="hybridMultilevel"/>
    <w:tmpl w:val="769000D6"/>
    <w:lvl w:ilvl="0" w:tplc="3B302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A695ED9"/>
    <w:multiLevelType w:val="hybridMultilevel"/>
    <w:tmpl w:val="536CC9B2"/>
    <w:lvl w:ilvl="0" w:tplc="8F204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20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9"/>
  </w:num>
  <w:num w:numId="17">
    <w:abstractNumId w:val="4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2604D"/>
    <w:rsid w:val="000C0999"/>
    <w:rsid w:val="000C5915"/>
    <w:rsid w:val="000D3DA5"/>
    <w:rsid w:val="001719C9"/>
    <w:rsid w:val="001769DF"/>
    <w:rsid w:val="0018393A"/>
    <w:rsid w:val="001A3DE5"/>
    <w:rsid w:val="001D2219"/>
    <w:rsid w:val="001F1EC4"/>
    <w:rsid w:val="0020092E"/>
    <w:rsid w:val="002478B4"/>
    <w:rsid w:val="00256DD3"/>
    <w:rsid w:val="00266E98"/>
    <w:rsid w:val="002F06CF"/>
    <w:rsid w:val="00352A06"/>
    <w:rsid w:val="00383AC4"/>
    <w:rsid w:val="003E4457"/>
    <w:rsid w:val="004207EE"/>
    <w:rsid w:val="004C173B"/>
    <w:rsid w:val="004D54C6"/>
    <w:rsid w:val="00586542"/>
    <w:rsid w:val="005A0A3E"/>
    <w:rsid w:val="005C3C03"/>
    <w:rsid w:val="005F1BE2"/>
    <w:rsid w:val="00641883"/>
    <w:rsid w:val="00653736"/>
    <w:rsid w:val="006641B1"/>
    <w:rsid w:val="00667FBA"/>
    <w:rsid w:val="00670BE9"/>
    <w:rsid w:val="006D29DF"/>
    <w:rsid w:val="0075193B"/>
    <w:rsid w:val="00756635"/>
    <w:rsid w:val="00757DA6"/>
    <w:rsid w:val="00765077"/>
    <w:rsid w:val="007701C7"/>
    <w:rsid w:val="007838FE"/>
    <w:rsid w:val="007E51FC"/>
    <w:rsid w:val="0081772F"/>
    <w:rsid w:val="00830606"/>
    <w:rsid w:val="0084408D"/>
    <w:rsid w:val="00921FC9"/>
    <w:rsid w:val="00980098"/>
    <w:rsid w:val="009B6A20"/>
    <w:rsid w:val="00A13EBE"/>
    <w:rsid w:val="00A357BE"/>
    <w:rsid w:val="00A73881"/>
    <w:rsid w:val="00A8101C"/>
    <w:rsid w:val="00AA3C73"/>
    <w:rsid w:val="00AF5E99"/>
    <w:rsid w:val="00B029CA"/>
    <w:rsid w:val="00B112FB"/>
    <w:rsid w:val="00B16168"/>
    <w:rsid w:val="00B43232"/>
    <w:rsid w:val="00B52F90"/>
    <w:rsid w:val="00B92034"/>
    <w:rsid w:val="00B951D7"/>
    <w:rsid w:val="00BA07D8"/>
    <w:rsid w:val="00BA0E6A"/>
    <w:rsid w:val="00BC74E0"/>
    <w:rsid w:val="00BF0B3F"/>
    <w:rsid w:val="00C267E0"/>
    <w:rsid w:val="00C721E2"/>
    <w:rsid w:val="00D26F12"/>
    <w:rsid w:val="00DA1AAC"/>
    <w:rsid w:val="00DA3CCA"/>
    <w:rsid w:val="00DB2E7F"/>
    <w:rsid w:val="00DC7F0A"/>
    <w:rsid w:val="00ED27B2"/>
    <w:rsid w:val="00EE0DF6"/>
    <w:rsid w:val="00EF2A57"/>
    <w:rsid w:val="00F21857"/>
    <w:rsid w:val="00F265BD"/>
    <w:rsid w:val="00F65F6B"/>
    <w:rsid w:val="00F9380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6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60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5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6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60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5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127D-A7C3-4F5E-8AF1-D21C3A9C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2016-10-25T11:51:00Z</cp:lastPrinted>
  <dcterms:created xsi:type="dcterms:W3CDTF">2016-10-25T11:43:00Z</dcterms:created>
  <dcterms:modified xsi:type="dcterms:W3CDTF">2016-10-25T11:51:00Z</dcterms:modified>
</cp:coreProperties>
</file>